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宋体" w:hAnsi="宋体" w:eastAsia="宋体"/>
          <w:sz w:val="32"/>
          <w:szCs w:val="32"/>
        </w:rPr>
      </w:pPr>
      <w:r>
        <w:rPr>
          <w:rFonts w:hint="eastAsia" w:ascii="宋体" w:hAnsi="宋体" w:eastAsia="宋体"/>
          <w:sz w:val="32"/>
          <w:szCs w:val="32"/>
        </w:rPr>
        <w:t>附件</w:t>
      </w:r>
      <w:r>
        <w:rPr>
          <w:rFonts w:ascii="宋体" w:hAnsi="宋体" w:eastAsia="宋体"/>
          <w:sz w:val="32"/>
          <w:szCs w:val="32"/>
        </w:rPr>
        <w:t>3</w:t>
      </w:r>
    </w:p>
    <w:p>
      <w:pPr>
        <w:ind w:firstLine="31680"/>
        <w:jc w:val="center"/>
        <w:rPr>
          <w:rFonts w:ascii="黑体" w:hAnsi="黑体" w:eastAsia="黑体"/>
          <w:sz w:val="44"/>
          <w:szCs w:val="44"/>
        </w:rPr>
      </w:pPr>
      <w:r>
        <w:rPr>
          <w:rFonts w:hint="eastAsia" w:ascii="黑体" w:hAnsi="黑体" w:eastAsia="黑体"/>
          <w:sz w:val="44"/>
          <w:szCs w:val="44"/>
          <w:lang w:eastAsia="zh-CN"/>
        </w:rPr>
        <w:t>2023</w:t>
      </w:r>
      <w:r>
        <w:rPr>
          <w:rFonts w:hint="eastAsia" w:ascii="黑体" w:hAnsi="黑体" w:eastAsia="黑体"/>
          <w:sz w:val="44"/>
          <w:szCs w:val="44"/>
        </w:rPr>
        <w:t>年</w:t>
      </w:r>
      <w:r>
        <w:rPr>
          <w:rFonts w:hint="eastAsia" w:ascii="黑体" w:hAnsi="黑体" w:eastAsia="黑体"/>
          <w:sz w:val="44"/>
          <w:szCs w:val="44"/>
          <w:lang w:eastAsia="zh-CN"/>
        </w:rPr>
        <w:t>淄博</w:t>
      </w:r>
      <w:r>
        <w:rPr>
          <w:rFonts w:hint="eastAsia" w:ascii="黑体" w:hAnsi="黑体" w:eastAsia="黑体"/>
          <w:sz w:val="44"/>
          <w:szCs w:val="44"/>
        </w:rPr>
        <w:t>银行业社会责任报告</w:t>
      </w:r>
    </w:p>
    <w:p>
      <w:pPr>
        <w:ind w:firstLine="31680"/>
        <w:jc w:val="center"/>
        <w:rPr>
          <w:rFonts w:ascii="黑体" w:hAnsi="黑体" w:eastAsia="黑体"/>
          <w:sz w:val="44"/>
          <w:szCs w:val="44"/>
        </w:rPr>
      </w:pPr>
      <w:r>
        <w:rPr>
          <w:rFonts w:hint="eastAsia" w:ascii="黑体" w:hAnsi="黑体" w:eastAsia="黑体"/>
          <w:sz w:val="44"/>
          <w:szCs w:val="44"/>
        </w:rPr>
        <w:t>定性材料报送模板</w:t>
      </w:r>
    </w:p>
    <w:p>
      <w:pPr>
        <w:ind w:firstLine="31680"/>
        <w:jc w:val="center"/>
        <w:rPr>
          <w:rFonts w:ascii="黑体" w:hAnsi="黑体" w:eastAsia="黑体"/>
          <w:sz w:val="44"/>
          <w:szCs w:val="44"/>
        </w:rPr>
      </w:pPr>
    </w:p>
    <w:tbl>
      <w:tblPr>
        <w:tblStyle w:val="9"/>
        <w:tblW w:w="8522" w:type="dxa"/>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384"/>
        <w:gridCol w:w="7138"/>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8522" w:type="dxa"/>
            <w:gridSpan w:val="2"/>
          </w:tcPr>
          <w:p>
            <w:pPr>
              <w:ind w:firstLine="0" w:firstLineChars="0"/>
              <w:rPr>
                <w:rFonts w:hint="eastAsia"/>
                <w:b/>
              </w:rPr>
            </w:pPr>
            <w:r>
              <w:rPr>
                <w:rFonts w:hint="eastAsia"/>
                <w:b/>
              </w:rPr>
              <w:t>定性材料填报说明：</w:t>
            </w:r>
          </w:p>
          <w:p>
            <w:pPr>
              <w:numPr>
                <w:ilvl w:val="0"/>
                <w:numId w:val="1"/>
              </w:numPr>
              <w:ind w:firstLine="0" w:firstLineChars="0"/>
              <w:rPr>
                <w:rFonts w:hint="eastAsia"/>
                <w:lang w:val="en-US" w:eastAsia="zh-CN"/>
              </w:rPr>
            </w:pPr>
            <w:r>
              <w:rPr>
                <w:rFonts w:hint="eastAsia"/>
                <w:lang w:val="en-US" w:eastAsia="zh-CN"/>
              </w:rPr>
              <w:t>各会员单位对7个篇别进行材料报送，前言、概况与附录无需报送</w:t>
            </w:r>
          </w:p>
          <w:p>
            <w:pPr>
              <w:ind w:firstLine="0" w:firstLineChars="0"/>
            </w:pPr>
            <w:r>
              <w:rPr>
                <w:rFonts w:hint="eastAsia"/>
                <w:lang w:val="en-US" w:eastAsia="zh-CN"/>
              </w:rPr>
              <w:t>2</w:t>
            </w:r>
            <w:r>
              <w:rPr>
                <w:rFonts w:hint="eastAsia"/>
              </w:rPr>
              <w:t>．文字材料请直接粘贴在此</w:t>
            </w:r>
            <w:r>
              <w:t>word</w:t>
            </w:r>
            <w:r>
              <w:rPr>
                <w:rFonts w:hint="eastAsia"/>
              </w:rPr>
              <w:t>文件中相应指标的方框内；</w:t>
            </w:r>
          </w:p>
          <w:p>
            <w:pPr>
              <w:ind w:firstLine="0" w:firstLineChars="0"/>
            </w:pPr>
            <w:r>
              <w:rPr>
                <w:rFonts w:hint="eastAsia"/>
                <w:lang w:val="en-US" w:eastAsia="zh-CN"/>
              </w:rPr>
              <w:t>3</w:t>
            </w:r>
            <w:r>
              <w:rPr>
                <w:rFonts w:hint="eastAsia"/>
              </w:rPr>
              <w:t>．请单独提供图片文件，请勿粘贴在此</w:t>
            </w:r>
            <w:r>
              <w:t>word</w:t>
            </w:r>
            <w:r>
              <w:rPr>
                <w:rFonts w:hint="eastAsia"/>
              </w:rPr>
              <w:t>文件内；</w:t>
            </w:r>
          </w:p>
          <w:p>
            <w:pPr>
              <w:ind w:firstLine="0" w:firstLineChars="0"/>
            </w:pPr>
            <w:r>
              <w:rPr>
                <w:rFonts w:hint="eastAsia"/>
                <w:lang w:val="en-US" w:eastAsia="zh-CN"/>
              </w:rPr>
              <w:t>4</w:t>
            </w:r>
            <w:r>
              <w:rPr>
                <w:rFonts w:hint="eastAsia"/>
              </w:rPr>
              <w:t>．文字材料中的数据必须截至</w:t>
            </w:r>
            <w:r>
              <w:rPr>
                <w:rFonts w:hint="eastAsia"/>
                <w:lang w:eastAsia="zh-CN"/>
              </w:rPr>
              <w:t>2023</w:t>
            </w:r>
            <w:r>
              <w:rPr>
                <w:rFonts w:hint="eastAsia"/>
              </w:rPr>
              <w:t>年</w:t>
            </w:r>
            <w:r>
              <w:t>12</w:t>
            </w:r>
            <w:r>
              <w:rPr>
                <w:rFonts w:hint="eastAsia"/>
              </w:rPr>
              <w:t>月</w:t>
            </w:r>
            <w:r>
              <w:t>31</w:t>
            </w:r>
            <w:r>
              <w:rPr>
                <w:rFonts w:hint="eastAsia"/>
              </w:rPr>
              <w:t>日；</w:t>
            </w:r>
          </w:p>
          <w:p>
            <w:pPr>
              <w:ind w:firstLine="0" w:firstLineChars="0"/>
            </w:pPr>
            <w:r>
              <w:rPr>
                <w:rFonts w:hint="eastAsia"/>
                <w:lang w:val="en-US" w:eastAsia="zh-CN"/>
              </w:rPr>
              <w:t xml:space="preserve">5. </w:t>
            </w:r>
            <w:r>
              <w:rPr>
                <w:rFonts w:hint="eastAsia"/>
                <w:b/>
              </w:rPr>
              <w:t>请不要改动基本模块格式，各条目内容可参照附件</w:t>
            </w:r>
            <w:r>
              <w:rPr>
                <w:b/>
              </w:rPr>
              <w:t>2</w:t>
            </w:r>
            <w:r>
              <w:rPr>
                <w:rFonts w:hint="eastAsia"/>
                <w:b/>
              </w:rPr>
              <w:t>《定性材料编写指引》指标项目内容按指标序号编写，也根据本单位具体情况自拟指标条目编写，但各模块应包含政策导向、工作举措、创新点亮、典型案例、图片等内容，要层次清晰，内容具体。</w:t>
            </w:r>
          </w:p>
          <w:p>
            <w:pPr>
              <w:ind w:firstLine="0" w:firstLineChars="0"/>
            </w:pPr>
            <w:r>
              <w:rPr>
                <w:rFonts w:hint="eastAsia"/>
                <w:lang w:val="en-US" w:eastAsia="zh-CN"/>
              </w:rPr>
              <w:t>6</w:t>
            </w:r>
            <w:r>
              <w:rPr>
                <w:rFonts w:hint="eastAsia"/>
              </w:rPr>
              <w:t>．以下标题非最终框架标题；</w:t>
            </w:r>
          </w:p>
          <w:p>
            <w:pPr>
              <w:ind w:firstLine="0" w:firstLineChars="0"/>
            </w:pPr>
            <w:r>
              <w:rPr>
                <w:rFonts w:hint="eastAsia"/>
                <w:lang w:val="en-US" w:eastAsia="zh-CN"/>
              </w:rPr>
              <w:t>7</w:t>
            </w:r>
            <w:r>
              <w:rPr>
                <w:rFonts w:hint="eastAsia"/>
              </w:rPr>
              <w:t>．请各单位认为能够体现其它社会责任工作的重要材料未包括在本框架内，可在相关内容后另外添加；</w:t>
            </w:r>
          </w:p>
          <w:p>
            <w:pPr>
              <w:ind w:firstLine="0" w:firstLineChars="0"/>
            </w:pPr>
            <w:r>
              <w:rPr>
                <w:rFonts w:hint="eastAsia"/>
                <w:lang w:val="en-US" w:eastAsia="zh-CN"/>
              </w:rPr>
              <w:t>8</w:t>
            </w:r>
            <w:r>
              <w:rPr>
                <w:rFonts w:hint="eastAsia"/>
              </w:rPr>
              <w:t>．具体要求请参照附件</w:t>
            </w:r>
            <w:r>
              <w:rPr>
                <w:rFonts w:hint="eastAsia"/>
                <w:lang w:val="en-US" w:eastAsia="zh-CN"/>
              </w:rPr>
              <w:t>6</w:t>
            </w:r>
            <w:r>
              <w:rPr>
                <w:rFonts w:hint="eastAsia"/>
              </w:rPr>
              <w:t>《材料编制报送具体要求》。</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1384" w:type="dxa"/>
          </w:tcPr>
          <w:p>
            <w:pPr>
              <w:ind w:firstLine="0" w:firstLineChars="0"/>
              <w:rPr>
                <w:b/>
              </w:rPr>
            </w:pPr>
            <w:r>
              <w:rPr>
                <w:rFonts w:hint="eastAsia"/>
                <w:b/>
              </w:rPr>
              <w:t>填报机构：</w:t>
            </w:r>
          </w:p>
        </w:tc>
        <w:tc>
          <w:tcPr>
            <w:tcW w:w="7138" w:type="dxa"/>
          </w:tcPr>
          <w:p>
            <w:pPr>
              <w:ind w:firstLine="0" w:firstLineChars="0"/>
              <w:rPr>
                <w:b/>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1384" w:type="dxa"/>
          </w:tcPr>
          <w:p>
            <w:pPr>
              <w:ind w:firstLine="0" w:firstLineChars="0"/>
              <w:rPr>
                <w:b/>
              </w:rPr>
            </w:pPr>
            <w:r>
              <w:rPr>
                <w:rFonts w:hint="eastAsia"/>
                <w:b/>
              </w:rPr>
              <w:t>填报人：</w:t>
            </w:r>
          </w:p>
        </w:tc>
        <w:tc>
          <w:tcPr>
            <w:tcW w:w="7138" w:type="dxa"/>
          </w:tcPr>
          <w:p>
            <w:pPr>
              <w:ind w:firstLine="0" w:firstLineChars="0"/>
              <w:rPr>
                <w:b/>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1384" w:type="dxa"/>
          </w:tcPr>
          <w:p>
            <w:pPr>
              <w:ind w:firstLine="0" w:firstLineChars="0"/>
              <w:rPr>
                <w:b/>
              </w:rPr>
            </w:pPr>
            <w:r>
              <w:rPr>
                <w:rFonts w:hint="eastAsia"/>
                <w:b/>
              </w:rPr>
              <w:t>审核人：</w:t>
            </w:r>
          </w:p>
        </w:tc>
        <w:tc>
          <w:tcPr>
            <w:tcW w:w="7138" w:type="dxa"/>
          </w:tcPr>
          <w:p>
            <w:pPr>
              <w:ind w:firstLine="0" w:firstLineChars="0"/>
              <w:rPr>
                <w:b/>
              </w:rPr>
            </w:pPr>
          </w:p>
        </w:tc>
      </w:tr>
    </w:tbl>
    <w:p>
      <w:pPr>
        <w:ind w:firstLine="0" w:firstLineChars="0"/>
        <w:rPr>
          <w:sz w:val="28"/>
          <w:szCs w:val="28"/>
        </w:rPr>
      </w:pPr>
    </w:p>
    <w:p>
      <w:pPr>
        <w:ind w:firstLine="0" w:firstLineChars="0"/>
        <w:jc w:val="center"/>
        <w:rPr>
          <w:rFonts w:hint="eastAsia" w:ascii="黑体" w:hAnsi="黑体" w:eastAsia="黑体" w:cs="黑体"/>
          <w:b/>
          <w:sz w:val="28"/>
          <w:szCs w:val="28"/>
          <w:lang w:eastAsia="zh-CN"/>
        </w:rPr>
      </w:pPr>
      <w:r>
        <w:rPr>
          <w:rFonts w:hint="eastAsia" w:ascii="黑体" w:hAnsi="黑体" w:eastAsia="黑体" w:cs="黑体"/>
          <w:b/>
          <w:sz w:val="28"/>
          <w:szCs w:val="28"/>
          <w:lang w:eastAsia="zh-CN"/>
        </w:rPr>
        <w:t>一、党建引领 深化责任管理</w:t>
      </w:r>
    </w:p>
    <w:p>
      <w:pPr>
        <w:ind w:firstLine="31680"/>
        <w:rPr>
          <w:rFonts w:ascii="仿宋_GB2312"/>
          <w:b/>
          <w:sz w:val="28"/>
          <w:szCs w:val="28"/>
        </w:rPr>
      </w:pPr>
      <w:r>
        <w:rPr>
          <w:rFonts w:hint="eastAsia" w:ascii="仿宋_GB2312"/>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3</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r>
              <w:rPr>
                <w:rFonts w:hint="eastAsia"/>
                <w:szCs w:val="24"/>
                <w:lang w:eastAsia="zh-CN"/>
              </w:rPr>
              <w:t>会员单位无需编写</w:t>
            </w:r>
          </w:p>
        </w:tc>
      </w:tr>
    </w:tbl>
    <w:p>
      <w:pPr>
        <w:ind w:firstLine="31680"/>
        <w:rPr>
          <w:rFonts w:hint="eastAsia" w:ascii="仿宋_GB2312"/>
          <w:b/>
        </w:rPr>
      </w:pPr>
    </w:p>
    <w:p>
      <w:pPr>
        <w:ind w:firstLine="31680"/>
        <w:rPr>
          <w:rFonts w:hint="eastAsia" w:ascii="仿宋_GB2312" w:eastAsia="仿宋_GB2312"/>
          <w:b/>
          <w:bCs/>
          <w:sz w:val="28"/>
          <w:szCs w:val="28"/>
          <w:lang w:eastAsia="zh-CN"/>
        </w:rPr>
      </w:pPr>
      <w:r>
        <w:rPr>
          <w:rFonts w:hint="eastAsia" w:ascii="仿宋_GB2312"/>
          <w:b/>
        </w:rPr>
        <w:t>●</w:t>
      </w:r>
      <w:r>
        <w:rPr>
          <w:rFonts w:hint="eastAsia" w:ascii="仿宋_GB2312" w:eastAsia="仿宋_GB2312"/>
          <w:b/>
          <w:bCs/>
          <w:sz w:val="28"/>
          <w:szCs w:val="28"/>
          <w:lang w:eastAsia="zh-CN"/>
        </w:rPr>
        <w:t>扎实推进主题教育</w:t>
      </w:r>
    </w:p>
    <w:p>
      <w:pPr>
        <w:ind w:firstLine="31680"/>
        <w:rPr>
          <w:szCs w:val="24"/>
        </w:rPr>
      </w:pPr>
      <w:r>
        <w:rPr>
          <w:rFonts w:hint="eastAsia"/>
        </w:rPr>
        <w:t>（请参照指引指标</w:t>
      </w:r>
      <w:r>
        <w:rPr>
          <w:rFonts w:hint="eastAsia"/>
          <w:lang w:val="en-US" w:eastAsia="zh-CN"/>
        </w:rPr>
        <w:t>4</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9" w:hRule="atLeast"/>
        </w:trPr>
        <w:tc>
          <w:tcPr>
            <w:tcW w:w="8522" w:type="dxa"/>
          </w:tcPr>
          <w:p>
            <w:pPr>
              <w:rPr>
                <w:rFonts w:hint="eastAsia" w:ascii="Calibri" w:hAnsi="Calibri" w:eastAsia="仿宋_GB2312" w:cs="Times New Roman"/>
                <w:kern w:val="2"/>
                <w:sz w:val="24"/>
                <w:szCs w:val="22"/>
                <w:lang w:val="en-US" w:eastAsia="zh-CN" w:bidi="ar-SA"/>
              </w:rPr>
            </w:pPr>
          </w:p>
          <w:p>
            <w:pPr>
              <w:ind w:firstLine="31680"/>
              <w:rPr>
                <w:rFonts w:hint="default" w:cs="仿宋_GB2312"/>
                <w:highlight w:val="none"/>
                <w:lang w:val="en-US" w:eastAsia="zh-CN"/>
              </w:rPr>
            </w:pPr>
            <w:r>
              <w:rPr>
                <w:rFonts w:hint="default" w:cs="仿宋_GB2312"/>
                <w:highlight w:val="none"/>
                <w:lang w:val="en-US" w:eastAsia="zh-CN"/>
              </w:rPr>
              <w:t>常态化抓牢政治理论学习，不断巩固深化主题教育成果。坚持把落实习近平新时代中国特色社会主义思想同持续巩固深化主题教育成果紧密结合，做到同频共振深度融合，转化为凝聚推动改革发展强大动力。一是认真落实理论学习制度。以学习贯彻习近平新时代中国特色社会主义思想为主线，将《</w:t>
            </w:r>
            <w:r>
              <w:rPr>
                <w:rFonts w:hint="eastAsia" w:cs="仿宋_GB2312"/>
                <w:highlight w:val="none"/>
                <w:lang w:val="en-US" w:eastAsia="zh-CN"/>
              </w:rPr>
              <w:t>习近平新时代中国特色社会主义思想专题摘编》、《习近平著作选读》</w:t>
            </w:r>
            <w:r>
              <w:rPr>
                <w:rFonts w:hint="default" w:cs="仿宋_GB2312"/>
                <w:highlight w:val="none"/>
                <w:lang w:val="en-US" w:eastAsia="zh-CN"/>
              </w:rPr>
              <w:t>等重点学习内容列入理论学习及广大干部职工日常理论学习重要内容。二是坚持学习教育常抓不懈。通过“</w:t>
            </w:r>
            <w:r>
              <w:rPr>
                <w:rFonts w:hint="eastAsia" w:cs="仿宋_GB2312"/>
                <w:highlight w:val="none"/>
                <w:lang w:val="en-US" w:eastAsia="zh-CN"/>
              </w:rPr>
              <w:t>灯塔在线</w:t>
            </w:r>
            <w:r>
              <w:rPr>
                <w:rFonts w:hint="default" w:cs="仿宋_GB2312"/>
                <w:highlight w:val="none"/>
                <w:lang w:val="en-US" w:eastAsia="zh-CN"/>
              </w:rPr>
              <w:t>”、“学习强国”等学习平台持续开展党规党纪教育、“四史”教育、革命传统教育、形势政策教育、警示教育，班子成员示范带头，带动广大干部职工分专题、分领域、分阶段反复学、系统深入学，抓实经常性教育，推动习近平新时代中国特色社会主义思想往深里走、往心里走、往实里走，引导广大职工增强“四个意识”、坚定“四个自信”、做到“两个维护”。</w:t>
            </w:r>
          </w:p>
          <w:p>
            <w:pPr>
              <w:pStyle w:val="5"/>
              <w:ind w:left="0" w:leftChars="0" w:firstLine="0" w:firstLineChars="0"/>
            </w:pPr>
          </w:p>
        </w:tc>
      </w:tr>
    </w:tbl>
    <w:p>
      <w:pPr>
        <w:ind w:firstLine="31680"/>
        <w:rPr>
          <w:rFonts w:hint="eastAsia" w:ascii="仿宋_GB2312"/>
          <w:b/>
        </w:rPr>
      </w:pPr>
    </w:p>
    <w:p>
      <w:pPr>
        <w:ind w:firstLine="31680"/>
        <w:rPr>
          <w:rFonts w:hint="eastAsia" w:ascii="仿宋_GB2312" w:eastAsia="仿宋_GB2312"/>
          <w:b/>
          <w:bCs/>
          <w:sz w:val="28"/>
          <w:szCs w:val="28"/>
          <w:lang w:eastAsia="zh-CN"/>
        </w:rPr>
      </w:pPr>
      <w:r>
        <w:rPr>
          <w:rFonts w:hint="eastAsia" w:ascii="仿宋_GB2312"/>
          <w:b/>
        </w:rPr>
        <w:t>●</w:t>
      </w:r>
      <w:r>
        <w:rPr>
          <w:rFonts w:hint="eastAsia" w:ascii="仿宋_GB2312" w:eastAsia="仿宋_GB2312"/>
          <w:b/>
          <w:bCs/>
          <w:sz w:val="28"/>
          <w:szCs w:val="28"/>
          <w:lang w:eastAsia="zh-CN"/>
        </w:rPr>
        <w:t>清廉金融文化建设全面提升年</w:t>
      </w:r>
    </w:p>
    <w:p>
      <w:pPr>
        <w:ind w:firstLine="31680"/>
        <w:rPr>
          <w:szCs w:val="24"/>
        </w:rPr>
      </w:pPr>
      <w:r>
        <w:rPr>
          <w:rFonts w:hint="eastAsia"/>
        </w:rPr>
        <w:t>（请参照指引指标</w:t>
      </w:r>
      <w:r>
        <w:rPr>
          <w:rFonts w:hint="eastAsia"/>
          <w:lang w:val="en-US" w:eastAsia="zh-CN"/>
        </w:rPr>
        <w:t>5</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ind w:firstLine="31680"/>
              <w:rPr>
                <w:rFonts w:hint="eastAsia" w:cs="仿宋_GB2312"/>
                <w:highlight w:val="none"/>
                <w:lang w:val="en-US" w:eastAsia="zh-CN"/>
              </w:rPr>
            </w:pPr>
            <w:r>
              <w:rPr>
                <w:rFonts w:hint="eastAsia" w:cs="仿宋_GB2312"/>
                <w:highlight w:val="none"/>
                <w:lang w:val="en-US" w:eastAsia="zh-CN"/>
              </w:rPr>
              <w:t>一、加强领导，细心组织。</w:t>
            </w:r>
          </w:p>
          <w:p>
            <w:pPr>
              <w:ind w:firstLine="31680"/>
              <w:rPr>
                <w:rFonts w:hint="default" w:cs="仿宋_GB2312"/>
                <w:highlight w:val="none"/>
                <w:lang w:val="en-US" w:eastAsia="zh-CN"/>
              </w:rPr>
            </w:pPr>
            <w:r>
              <w:rPr>
                <w:rFonts w:hint="eastAsia" w:cs="仿宋_GB2312"/>
                <w:highlight w:val="none"/>
                <w:lang w:val="en-US" w:eastAsia="zh-CN"/>
              </w:rPr>
              <w:t>沂源博商村镇银行坚持党建引领清廉文化，各项活动均由党委书记任活动组长，纪委书记负责监督活动开展情况。一是总体谋划，有效布局。召开专题党委会进行讨论学习，班子成员带头公开承诺做到“五不”，即：“接受监督不排斥，严管亲朋不放纵，择善而交不任凭，艰苦奋斗不铺张，公道正派不偏私”。二是成立组织，加强领导。成立党委书记任组长、班子成员任副组长、各部室负责人为成员的清廉金融文化建设工作领导小组及办公室，确保清廉金融文化建设与经营工作紧密结合，形成各负其责、层层推动、各自落实的工作格局。</w:t>
            </w:r>
          </w:p>
          <w:p>
            <w:pPr>
              <w:ind w:firstLine="31680"/>
              <w:rPr>
                <w:rFonts w:hint="eastAsia" w:cs="仿宋_GB2312"/>
                <w:highlight w:val="none"/>
                <w:lang w:val="en-US" w:eastAsia="zh-CN"/>
              </w:rPr>
            </w:pPr>
            <w:r>
              <w:rPr>
                <w:rFonts w:hint="eastAsia" w:cs="仿宋_GB2312"/>
                <w:highlight w:val="none"/>
                <w:lang w:val="en-US" w:eastAsia="zh-CN"/>
              </w:rPr>
              <w:t>二、多错并举，营造氛围。</w:t>
            </w:r>
          </w:p>
          <w:p>
            <w:pPr>
              <w:ind w:firstLine="31680"/>
              <w:rPr>
                <w:rFonts w:hint="default" w:cs="仿宋_GB2312"/>
                <w:highlight w:val="none"/>
                <w:lang w:val="en-US" w:eastAsia="zh-CN"/>
              </w:rPr>
            </w:pPr>
            <w:r>
              <w:rPr>
                <w:rFonts w:hint="eastAsia" w:cs="仿宋_GB2312"/>
                <w:highlight w:val="none"/>
                <w:lang w:val="en-US" w:eastAsia="zh-CN"/>
              </w:rPr>
              <w:t>沂源博商村镇银行紧扣主题，营造人人知晓、全员参与的创建氛围。一是加大宣扬力度。面对全行发出清廉金融文化建设倡议，在党员活动室悬挂“清正廉洁，风清气正”标语，张贴清廉金融文化海报，大力宣扬清廉文化理念、先进人物典型、弘扬正能量。二是加强动员部署。召开警示教育大会、反腐倡廉形势报告会、青年员工座谈会，进一步增强全行员工对清廉金融文化建设工作的重要性、必要性认识。依托丰富的人文资源，参观红色文化纪念地。三是开展“清廉金融文化建设活动日”。监事长亲自组织案例警示宣讲，以陷入贪腐深渊的真实案例进行警示教育，同时把案防、合规、教育融入到党风廉政建设中，让全员干部员工明白：严守规矩、不逾期底线，要有敬畏之心，才能清廉自守。</w:t>
            </w:r>
          </w:p>
          <w:p>
            <w:pPr>
              <w:ind w:firstLine="31680"/>
              <w:rPr>
                <w:rFonts w:hint="eastAsia" w:cs="仿宋_GB2312"/>
                <w:highlight w:val="none"/>
                <w:lang w:val="en-US" w:eastAsia="zh-CN"/>
              </w:rPr>
            </w:pPr>
            <w:r>
              <w:rPr>
                <w:rFonts w:hint="eastAsia" w:cs="仿宋_GB2312"/>
                <w:highlight w:val="none"/>
                <w:lang w:val="en-US" w:eastAsia="zh-CN"/>
              </w:rPr>
              <w:t>三、融入管理，留意实效。</w:t>
            </w:r>
          </w:p>
          <w:p>
            <w:pPr>
              <w:ind w:firstLine="31680"/>
              <w:rPr>
                <w:rFonts w:hint="default" w:cs="仿宋_GB2312"/>
                <w:highlight w:val="none"/>
                <w:lang w:val="en-US" w:eastAsia="zh-CN"/>
              </w:rPr>
            </w:pPr>
            <w:r>
              <w:rPr>
                <w:rFonts w:hint="eastAsia" w:cs="仿宋_GB2312"/>
                <w:highlight w:val="none"/>
                <w:lang w:val="en-US" w:eastAsia="zh-CN"/>
              </w:rPr>
              <w:t>沂源博商村镇银行将廉洁理念融入经营管理，确保全行风清气正。一是聚焦主责，做实监督，紧盯重点领域、关键岗位，确保政治任务、政治纪律同步落实、一并到位。二是创新开展系列教育活动。集中开展为期1个月的“党员示范引领、全员遵章守纪”合规清廉文化教育活动，大力提倡“清清爽爽”的同志关系，“亲”“清”的银企关系。对内，领导干部对员工，既讲感情又讲原则，对外，以清廉金融为纽带，加强银企合作，构建银企双方诚信、共赢、廉洁的合作关系。三是持续开展专项整治工作。围绕专项监督方案开展监督，紧盯关键节点发送廉政提示，鼓舞员工反映“四风”问题线索，并将廉洁从业作为年度重点内容。四是运用好“四种形态”。持续加强对干部员工的日常教育、管理和监督，抓早抓小，准时亮剑，始终保持腐败和案件高压态势。</w:t>
            </w:r>
          </w:p>
          <w:p>
            <w:pPr>
              <w:ind w:firstLine="31680"/>
              <w:rPr>
                <w:szCs w:val="24"/>
              </w:rPr>
            </w:pPr>
          </w:p>
          <w:p>
            <w:pPr>
              <w:pStyle w:val="3"/>
            </w:pPr>
          </w:p>
        </w:tc>
      </w:tr>
    </w:tbl>
    <w:p>
      <w:pPr>
        <w:ind w:firstLine="0" w:firstLineChars="0"/>
        <w:rPr>
          <w:rFonts w:ascii="仿宋_GB2312"/>
          <w:b/>
          <w:sz w:val="28"/>
          <w:szCs w:val="28"/>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rPr>
                <w:szCs w:val="24"/>
              </w:rPr>
            </w:pPr>
          </w:p>
        </w:tc>
      </w:tr>
    </w:tbl>
    <w:p>
      <w:pPr>
        <w:pStyle w:val="3"/>
        <w:ind w:left="0" w:leftChars="0" w:firstLine="0" w:firstLineChars="0"/>
        <w:rPr>
          <w:rFonts w:hint="eastAsia" w:ascii="黑体" w:hAnsi="黑体" w:eastAsia="黑体" w:cs="黑体"/>
          <w:b/>
          <w:kern w:val="2"/>
          <w:sz w:val="28"/>
          <w:szCs w:val="28"/>
          <w:lang w:val="en-US" w:eastAsia="zh-CN" w:bidi="ar-SA"/>
        </w:rPr>
      </w:pPr>
    </w:p>
    <w:p>
      <w:pPr>
        <w:ind w:firstLine="0" w:firstLineChars="0"/>
        <w:jc w:val="center"/>
        <w:rPr>
          <w:rFonts w:hint="eastAsia" w:ascii="黑体" w:hAnsi="黑体" w:eastAsia="黑体" w:cs="黑体"/>
          <w:b/>
          <w:kern w:val="2"/>
          <w:sz w:val="28"/>
          <w:szCs w:val="28"/>
          <w:lang w:val="en-US" w:eastAsia="zh-CN" w:bidi="ar-SA"/>
        </w:rPr>
      </w:pPr>
      <w:r>
        <w:rPr>
          <w:rFonts w:hint="eastAsia" w:ascii="黑体" w:hAnsi="黑体" w:eastAsia="黑体" w:cs="黑体"/>
          <w:b/>
          <w:kern w:val="2"/>
          <w:sz w:val="28"/>
          <w:szCs w:val="28"/>
          <w:lang w:val="en-US" w:eastAsia="zh-CN" w:bidi="ar-SA"/>
        </w:rPr>
        <w:t>二、聚焦“3510” 支持现代化强市建设</w:t>
      </w:r>
    </w:p>
    <w:p>
      <w:pPr>
        <w:ind w:firstLine="31680"/>
        <w:rPr>
          <w:rFonts w:ascii="仿宋_GB2312"/>
          <w:b/>
          <w:sz w:val="28"/>
          <w:szCs w:val="28"/>
        </w:rPr>
      </w:pPr>
      <w:r>
        <w:rPr>
          <w:rFonts w:hint="eastAsia" w:ascii="仿宋_GB2312"/>
          <w:b/>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6</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r>
              <w:rPr>
                <w:rFonts w:hint="eastAsia"/>
                <w:szCs w:val="24"/>
                <w:lang w:eastAsia="zh-CN"/>
              </w:rPr>
              <w:t>会员单位无需编写</w:t>
            </w: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rPr>
        <w:t>支持</w:t>
      </w:r>
      <w:r>
        <w:rPr>
          <w:rFonts w:hint="eastAsia" w:ascii="仿宋_GB2312"/>
          <w:b/>
          <w:sz w:val="28"/>
          <w:szCs w:val="28"/>
          <w:lang w:eastAsia="zh-CN"/>
        </w:rPr>
        <w:t>先进</w:t>
      </w:r>
      <w:r>
        <w:rPr>
          <w:rFonts w:hint="eastAsia" w:ascii="仿宋_GB2312"/>
          <w:b/>
          <w:sz w:val="28"/>
          <w:szCs w:val="28"/>
        </w:rPr>
        <w:t>制造业发展</w:t>
      </w:r>
    </w:p>
    <w:p>
      <w:pPr>
        <w:ind w:firstLine="31680"/>
        <w:rPr>
          <w:szCs w:val="24"/>
        </w:rPr>
      </w:pPr>
      <w:r>
        <w:rPr>
          <w:rFonts w:hint="eastAsia"/>
        </w:rPr>
        <w:t>（请参照指引指标</w:t>
      </w:r>
      <w:r>
        <w:rPr>
          <w:rFonts w:hint="eastAsia"/>
          <w:lang w:val="en-US" w:eastAsia="zh-CN"/>
        </w:rPr>
        <w:t>7</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rFonts w:hint="eastAsia" w:cs="仿宋_GB2312"/>
                <w:highlight w:val="none"/>
                <w:lang w:val="en-US" w:eastAsia="zh-CN"/>
              </w:rPr>
            </w:pPr>
            <w:r>
              <w:rPr>
                <w:rFonts w:hint="eastAsia" w:cs="仿宋_GB2312"/>
                <w:highlight w:val="none"/>
              </w:rPr>
              <w:t>截至</w:t>
            </w:r>
            <w:r>
              <w:rPr>
                <w:highlight w:val="none"/>
              </w:rPr>
              <w:t>20</w:t>
            </w:r>
            <w:r>
              <w:rPr>
                <w:rFonts w:hint="eastAsia"/>
                <w:highlight w:val="none"/>
                <w:lang w:val="en-US" w:eastAsia="zh-CN"/>
              </w:rPr>
              <w:t>23</w:t>
            </w:r>
            <w:r>
              <w:rPr>
                <w:rFonts w:hint="eastAsia" w:cs="仿宋_GB2312"/>
                <w:highlight w:val="none"/>
              </w:rPr>
              <w:t>年</w:t>
            </w:r>
            <w:r>
              <w:rPr>
                <w:highlight w:val="none"/>
              </w:rPr>
              <w:t>12</w:t>
            </w:r>
            <w:r>
              <w:rPr>
                <w:rFonts w:hint="eastAsia" w:cs="仿宋_GB2312"/>
                <w:highlight w:val="none"/>
              </w:rPr>
              <w:t>月</w:t>
            </w:r>
            <w:r>
              <w:rPr>
                <w:highlight w:val="none"/>
              </w:rPr>
              <w:t>31</w:t>
            </w:r>
            <w:r>
              <w:rPr>
                <w:rFonts w:hint="eastAsia" w:cs="仿宋_GB2312"/>
                <w:highlight w:val="none"/>
              </w:rPr>
              <w:t>日，我行各项存款余额</w:t>
            </w:r>
            <w:r>
              <w:rPr>
                <w:rFonts w:hint="eastAsia"/>
                <w:highlight w:val="none"/>
                <w:lang w:val="en-US" w:eastAsia="zh-CN"/>
              </w:rPr>
              <w:t>102.51</w:t>
            </w:r>
            <w:r>
              <w:rPr>
                <w:rFonts w:hint="eastAsia" w:cs="仿宋_GB2312"/>
                <w:highlight w:val="none"/>
              </w:rPr>
              <w:t>亿元，较年初新增</w:t>
            </w:r>
            <w:r>
              <w:rPr>
                <w:rFonts w:hint="eastAsia"/>
                <w:highlight w:val="none"/>
                <w:lang w:val="en-US" w:eastAsia="zh-CN"/>
              </w:rPr>
              <w:t>10.50</w:t>
            </w:r>
            <w:r>
              <w:rPr>
                <w:rFonts w:hint="eastAsia" w:cs="仿宋_GB2312"/>
                <w:highlight w:val="none"/>
              </w:rPr>
              <w:t>亿元；各项贷款余额</w:t>
            </w:r>
            <w:r>
              <w:rPr>
                <w:rFonts w:hint="eastAsia" w:cs="仿宋_GB2312"/>
                <w:highlight w:val="none"/>
                <w:lang w:val="en-US" w:eastAsia="zh-CN"/>
              </w:rPr>
              <w:t>87.82</w:t>
            </w:r>
            <w:r>
              <w:rPr>
                <w:rFonts w:hint="eastAsia" w:cs="仿宋_GB2312"/>
                <w:highlight w:val="none"/>
              </w:rPr>
              <w:t>亿元，较年初新增</w:t>
            </w:r>
            <w:r>
              <w:rPr>
                <w:rFonts w:hint="eastAsia" w:cs="仿宋_GB2312"/>
                <w:highlight w:val="none"/>
                <w:lang w:val="en-US" w:eastAsia="zh-CN"/>
              </w:rPr>
              <w:t>9.94</w:t>
            </w:r>
            <w:r>
              <w:rPr>
                <w:rFonts w:hint="eastAsia" w:cs="仿宋_GB2312"/>
                <w:highlight w:val="none"/>
              </w:rPr>
              <w:t>亿元。在大力支持沂源县域内小微企业生产经营的同时，有效降低了小微企业的融资成本。</w:t>
            </w:r>
            <w:r>
              <w:rPr>
                <w:rFonts w:hint="eastAsia" w:cs="仿宋_GB2312"/>
                <w:highlight w:val="none"/>
                <w:lang w:val="en-US" w:eastAsia="zh-CN"/>
              </w:rPr>
              <w:t>截止到2023年12月末，我行支持省市重大项目企业共计11家，贷款授信共计8881.5万，2023年贷款新增5984万元，贷款加权平均利率为6.28%,贷款不良余额为0。</w:t>
            </w:r>
          </w:p>
          <w:p>
            <w:pPr>
              <w:pStyle w:val="12"/>
              <w:rPr>
                <w:rFonts w:hint="eastAsia"/>
                <w:szCs w:val="24"/>
                <w:highlight w:val="none"/>
              </w:rPr>
            </w:pPr>
            <w:r>
              <w:rPr>
                <w:rFonts w:hint="eastAsia" w:cs="仿宋_GB2312"/>
                <w:highlight w:val="none"/>
                <w:lang w:val="en-US" w:eastAsia="zh-CN"/>
              </w:rPr>
              <w:t>支持企业主要为县域内山东彬海生命科学有限公司、山东和天下新材料有限公司、山东鲁创自动化有限公司、沂源县春风渡生态旅游有限公司、淄博华源新材料有限公司、山东丰泽源皮革有限公司、山东恒金源包装材料有限公司、山东红泉文旅产业发展有限公司、山东宏泰科技有限公司、淄博神州天诚中药饮片有限公司，是建设我县经济社会发展的重要支撑，也是民生实事，事关我县未来发展，事关民生福祉。</w:t>
            </w:r>
          </w:p>
          <w:p>
            <w:pPr>
              <w:pStyle w:val="12"/>
              <w:rPr>
                <w:rFonts w:hint="eastAsia"/>
                <w:szCs w:val="24"/>
              </w:rPr>
            </w:pPr>
          </w:p>
          <w:p>
            <w:pPr>
              <w:pStyle w:val="12"/>
              <w:rPr>
                <w:rFonts w:hint="eastAsia"/>
                <w:szCs w:val="24"/>
              </w:rPr>
            </w:pPr>
          </w:p>
        </w:tc>
      </w:tr>
    </w:tbl>
    <w:p>
      <w:pPr>
        <w:ind w:firstLine="0" w:firstLineChars="0"/>
        <w:rPr>
          <w:rFonts w:ascii="仿宋_GB2312"/>
          <w:b/>
          <w:sz w:val="28"/>
          <w:szCs w:val="28"/>
        </w:rPr>
      </w:pPr>
    </w:p>
    <w:p>
      <w:pPr>
        <w:ind w:firstLine="31680"/>
        <w:rPr>
          <w:rFonts w:ascii="仿宋_GB2312"/>
          <w:b/>
          <w:sz w:val="28"/>
          <w:szCs w:val="28"/>
        </w:rPr>
      </w:pPr>
      <w:r>
        <w:rPr>
          <w:rFonts w:hint="eastAsia" w:ascii="仿宋_GB2312"/>
          <w:b/>
        </w:rPr>
        <w:t>●</w:t>
      </w:r>
      <w:r>
        <w:rPr>
          <w:rFonts w:hint="eastAsia" w:ascii="仿宋_GB2312" w:hAnsi="Times New Roman" w:eastAsia="仿宋_GB2312" w:cs="Times New Roman"/>
          <w:b/>
          <w:bCs/>
          <w:sz w:val="28"/>
          <w:szCs w:val="28"/>
          <w:lang w:eastAsia="zh-CN"/>
        </w:rPr>
        <w:t>支持现代服务业发展</w:t>
      </w:r>
    </w:p>
    <w:p>
      <w:pPr>
        <w:ind w:firstLine="31680"/>
        <w:rPr>
          <w:szCs w:val="24"/>
        </w:rPr>
      </w:pPr>
      <w:r>
        <w:rPr>
          <w:rFonts w:hint="eastAsia"/>
        </w:rPr>
        <w:t>（请参照指引指标</w:t>
      </w:r>
      <w:r>
        <w:rPr>
          <w:rFonts w:hint="eastAsia"/>
          <w:lang w:val="en-US" w:eastAsia="zh-CN"/>
        </w:rPr>
        <w:t>8</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rPr>
                <w:rFonts w:hint="eastAsia"/>
                <w:highlight w:val="none"/>
              </w:rPr>
            </w:pPr>
            <w:r>
              <w:rPr>
                <w:rFonts w:hint="eastAsia"/>
                <w:highlight w:val="none"/>
              </w:rPr>
              <w:t>现代服务业是指以现代科学技术特别是信息网络技术为主要支撑，建立在新的商业模式、服务方式和管理方法基础上的服务产业。</w:t>
            </w:r>
          </w:p>
          <w:p>
            <w:pPr>
              <w:rPr>
                <w:rFonts w:hint="eastAsia"/>
                <w:highlight w:val="none"/>
              </w:rPr>
            </w:pPr>
            <w:r>
              <w:rPr>
                <w:rFonts w:hint="eastAsia"/>
                <w:highlight w:val="none"/>
              </w:rPr>
              <w:t>它有别于商贸、住宿、餐饮、仓储、交通运输等传统服务业，以金融保险业、信息传输和计算机软件业、租赁和商务服务业、科研技术服务和地质勘查业、文化体育和娱乐业、房地产业及居民社区服务业等为代表。</w:t>
            </w:r>
          </w:p>
          <w:p>
            <w:pPr>
              <w:pStyle w:val="12"/>
            </w:pPr>
            <w:r>
              <w:rPr>
                <w:rFonts w:hint="eastAsia"/>
                <w:highlight w:val="none"/>
                <w:lang w:eastAsia="zh-CN"/>
              </w:rPr>
              <w:t>我</w:t>
            </w:r>
            <w:r>
              <w:rPr>
                <w:rFonts w:hint="eastAsia"/>
                <w:highlight w:val="none"/>
              </w:rPr>
              <w:t>行积极为产业企业提供优质金融服务。扎根</w:t>
            </w:r>
            <w:r>
              <w:rPr>
                <w:rFonts w:hint="eastAsia"/>
                <w:highlight w:val="none"/>
                <w:lang w:val="en-US" w:eastAsia="zh-CN"/>
              </w:rPr>
              <w:t>县域</w:t>
            </w:r>
            <w:r>
              <w:rPr>
                <w:rFonts w:hint="eastAsia"/>
                <w:highlight w:val="none"/>
              </w:rPr>
              <w:t>重点园区，根据园区企业需求，做好针对性的金融服务。</w:t>
            </w:r>
            <w:r>
              <w:rPr>
                <w:rFonts w:hint="eastAsia"/>
                <w:highlight w:val="none"/>
                <w:lang w:eastAsia="zh-CN"/>
              </w:rPr>
              <w:t>我</w:t>
            </w:r>
            <w:r>
              <w:rPr>
                <w:rFonts w:hint="eastAsia"/>
                <w:highlight w:val="none"/>
              </w:rPr>
              <w:t>行针对各园区内企业生产经营特点，不断创新金融产品，实施“一户一策”精准服务，为</w:t>
            </w:r>
            <w:r>
              <w:rPr>
                <w:rFonts w:hint="eastAsia"/>
                <w:highlight w:val="none"/>
                <w:lang w:val="en-US" w:eastAsia="zh-CN"/>
              </w:rPr>
              <w:t>工业园区</w:t>
            </w:r>
            <w:r>
              <w:rPr>
                <w:rFonts w:hint="eastAsia"/>
                <w:highlight w:val="none"/>
              </w:rPr>
              <w:t>建设提供全力的支持。</w:t>
            </w: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eastAsia="仿宋_GB2312"/>
          <w:b/>
          <w:bCs/>
          <w:sz w:val="28"/>
          <w:szCs w:val="28"/>
        </w:rPr>
        <w:t>助力提升城市功能品质</w:t>
      </w:r>
    </w:p>
    <w:p>
      <w:pPr>
        <w:ind w:firstLine="31680"/>
        <w:rPr>
          <w:szCs w:val="24"/>
        </w:rPr>
      </w:pPr>
      <w:r>
        <w:rPr>
          <w:rFonts w:hint="eastAsia"/>
        </w:rPr>
        <w:t>（请参照指引指标</w:t>
      </w:r>
      <w:r>
        <w:rPr>
          <w:rFonts w:hint="eastAsia"/>
          <w:lang w:val="en-US" w:eastAsia="zh-CN"/>
        </w:rPr>
        <w:t>9</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pStyle w:val="12"/>
              <w:rPr>
                <w:rFonts w:hint="eastAsia"/>
                <w:szCs w:val="24"/>
              </w:rPr>
            </w:pPr>
            <w:r>
              <w:rPr>
                <w:rFonts w:hint="eastAsia" w:cs="仿宋_GB2312"/>
                <w:highlight w:val="none"/>
              </w:rPr>
              <w:t>受业务规模及单户贷款限制，我行暂未对基础设施建设进行支持</w:t>
            </w:r>
          </w:p>
          <w:p>
            <w:pPr>
              <w:pStyle w:val="12"/>
              <w:rPr>
                <w:rFonts w:hint="eastAsia"/>
                <w:szCs w:val="24"/>
              </w:rPr>
            </w:pPr>
          </w:p>
        </w:tc>
      </w:tr>
    </w:tbl>
    <w:p>
      <w:pPr>
        <w:ind w:firstLine="31680"/>
        <w:rPr>
          <w:rFonts w:hint="eastAsia" w:ascii="仿宋_GB2312"/>
          <w:b/>
        </w:rPr>
      </w:pPr>
    </w:p>
    <w:p>
      <w:pPr>
        <w:pStyle w:val="3"/>
        <w:rPr>
          <w:rFonts w:hint="eastAsia" w:ascii="仿宋_GB2312" w:hAnsi="Calibri" w:eastAsia="仿宋_GB2312" w:cs="Times New Roman"/>
          <w:b/>
          <w:bCs/>
          <w:kern w:val="2"/>
          <w:sz w:val="28"/>
          <w:szCs w:val="28"/>
          <w:lang w:val="en-US" w:eastAsia="zh-CN" w:bidi="ar-SA"/>
        </w:rPr>
      </w:pPr>
      <w:r>
        <w:rPr>
          <w:rFonts w:hint="eastAsia" w:ascii="仿宋_GB2312"/>
          <w:b/>
        </w:rPr>
        <w:t>●</w:t>
      </w:r>
      <w:r>
        <w:rPr>
          <w:rFonts w:hint="eastAsia" w:ascii="仿宋_GB2312" w:hAnsi="Calibri" w:eastAsia="仿宋_GB2312" w:cs="Times New Roman"/>
          <w:b/>
          <w:bCs/>
          <w:kern w:val="2"/>
          <w:sz w:val="28"/>
          <w:szCs w:val="28"/>
          <w:lang w:val="en-US" w:eastAsia="zh-CN" w:bidi="ar-SA"/>
        </w:rPr>
        <w:t>助推黄河流域重大国家战略发展</w:t>
      </w:r>
    </w:p>
    <w:p>
      <w:pPr>
        <w:ind w:firstLine="31680"/>
        <w:rPr>
          <w:szCs w:val="24"/>
        </w:rPr>
      </w:pPr>
      <w:r>
        <w:rPr>
          <w:rFonts w:hint="eastAsia"/>
        </w:rPr>
        <w:t>（请参照指引指标</w:t>
      </w:r>
      <w:r>
        <w:rPr>
          <w:rFonts w:hint="eastAsia"/>
          <w:lang w:val="en-US" w:eastAsia="zh-CN"/>
        </w:rPr>
        <w:t>10</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highlight w:val="none"/>
              </w:rPr>
            </w:pPr>
            <w:r>
              <w:rPr>
                <w:rFonts w:hint="eastAsia" w:cs="仿宋_GB2312"/>
                <w:highlight w:val="none"/>
              </w:rPr>
              <w:t>受业务规模及贷款限制，我行暂未对基础设施建设进行支持</w:t>
            </w:r>
          </w:p>
          <w:p>
            <w:pPr>
              <w:ind w:firstLine="31680"/>
              <w:rPr>
                <w:szCs w:val="24"/>
              </w:rPr>
            </w:pPr>
          </w:p>
          <w:p>
            <w:pPr>
              <w:pStyle w:val="3"/>
            </w:pPr>
          </w:p>
        </w:tc>
      </w:tr>
    </w:tbl>
    <w:p>
      <w:pPr>
        <w:pStyle w:val="3"/>
        <w:rPr>
          <w:rFonts w:hint="eastAsia" w:ascii="仿宋_GB2312" w:hAnsi="Calibri" w:eastAsia="仿宋_GB2312" w:cs="Times New Roman"/>
          <w:b/>
          <w:bCs/>
          <w:kern w:val="2"/>
          <w:sz w:val="28"/>
          <w:szCs w:val="28"/>
          <w:lang w:val="en-US" w:eastAsia="zh-CN" w:bidi="ar-SA"/>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eastAsia="仿宋_GB2312"/>
          <w:b/>
          <w:bCs/>
          <w:sz w:val="28"/>
          <w:szCs w:val="28"/>
          <w:lang w:eastAsia="zh-CN"/>
        </w:rPr>
        <w:t>推进新旧动能转换</w:t>
      </w:r>
    </w:p>
    <w:p>
      <w:pPr>
        <w:ind w:firstLine="31680"/>
        <w:rPr>
          <w:szCs w:val="24"/>
        </w:rPr>
      </w:pPr>
      <w:r>
        <w:rPr>
          <w:rFonts w:hint="eastAsia"/>
        </w:rPr>
        <w:t>（请参照指引指标</w:t>
      </w:r>
      <w:r>
        <w:rPr>
          <w:rFonts w:hint="eastAsia"/>
          <w:lang w:val="en-US" w:eastAsia="zh-CN"/>
        </w:rPr>
        <w:t>11</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rPr>
                <w:rFonts w:hint="eastAsia" w:cs="仿宋_GB2312"/>
                <w:highlight w:val="none"/>
              </w:rPr>
            </w:pPr>
            <w:r>
              <w:rPr>
                <w:rFonts w:hint="eastAsia" w:cs="仿宋_GB2312"/>
                <w:highlight w:val="none"/>
              </w:rPr>
              <w:t>我行积极与县域内涉及新旧动能转换的小微企业进行业务对接，配合“进走访”与“增提创”活动，全面调查了解企业的实际生产经营现状和新旧动能转换过程中遇到的问题，积极做好相关记录，并结合企业的融资需求和特点，为其提供了相应的服务方案，缓解了这部分企业流动资金紧张的难题。</w:t>
            </w:r>
          </w:p>
          <w:p>
            <w:pPr>
              <w:rPr>
                <w:rFonts w:hint="eastAsia" w:cs="仿宋_GB2312"/>
                <w:highlight w:val="none"/>
              </w:rPr>
            </w:pPr>
            <w:r>
              <w:rPr>
                <w:rFonts w:hint="eastAsia" w:cs="仿宋_GB2312"/>
                <w:highlight w:val="none"/>
              </w:rPr>
              <w:t>（一）完善支持小微企业新旧动能转换相关政策，合理配置信贷规模。一是依据相关金融政策、法律法规的规定和监管部门监管政策的要求，并结合小微企业新旧动能转换的实际情况，不断完善我行关于支持小微企业新旧动能转换的相关规章制度，不断简化小微企业信贷业务调查、审查、审批流程，在严格把控信贷风险的前提下，加大小微企业信贷投放规模；二是合理规划有限的信贷资金规模。在全行信贷规模非常有限的情况下，争取为小微企业新旧动能转换匹配了更多的信贷规模。</w:t>
            </w:r>
          </w:p>
          <w:p>
            <w:pPr>
              <w:rPr>
                <w:rFonts w:hint="eastAsia" w:cs="仿宋_GB2312"/>
                <w:highlight w:val="none"/>
              </w:rPr>
            </w:pPr>
            <w:r>
              <w:rPr>
                <w:rFonts w:hint="eastAsia" w:cs="仿宋_GB2312"/>
                <w:highlight w:val="none"/>
              </w:rPr>
              <w:t>（二）不断提高服务质量，大力开发新信贷产品。我行认真贯彻落实人民银行各项监管政策的要求，根据小微企业新旧动能转换资金需求“短、小、频、急”的特点，我行积极开辟了“中小企业贷款绿色通道”，加快了办贷时间，提高了办贷效率。同时，结合自身服务特色和市场变化，积极探索行之有效的担保和贷款方式，为各类企业融资推出了新的贷款品种。</w:t>
            </w:r>
          </w:p>
          <w:p>
            <w:pPr>
              <w:ind w:firstLine="31680"/>
              <w:rPr>
                <w:szCs w:val="24"/>
              </w:rPr>
            </w:pPr>
            <w:r>
              <w:rPr>
                <w:rFonts w:hint="eastAsia" w:cs="仿宋_GB2312"/>
                <w:highlight w:val="none"/>
              </w:rPr>
              <w:t>（三）大力支持乡镇小微企业，支持新旧动能转换小微企业。我行按照“择优扶持，突出重点”的信贷策略，对发展困难的乡镇小微企业、劳动密集型小微企业实行倾斜政策，切实增加就业机会和农民收入，积极推动“三农“发展。</w:t>
            </w:r>
          </w:p>
          <w:p>
            <w:pPr>
              <w:pStyle w:val="3"/>
            </w:pPr>
          </w:p>
        </w:tc>
      </w:tr>
    </w:tbl>
    <w:p>
      <w:pPr>
        <w:pStyle w:val="3"/>
        <w:ind w:left="0" w:leftChars="0" w:firstLine="0" w:firstLineChars="0"/>
        <w:rPr>
          <w:rFonts w:hint="eastAsia" w:ascii="仿宋_GB2312" w:hAnsi="Calibri" w:eastAsia="仿宋_GB2312" w:cs="Times New Roman"/>
          <w:b/>
          <w:bCs/>
          <w:kern w:val="2"/>
          <w:sz w:val="28"/>
          <w:szCs w:val="28"/>
          <w:lang w:val="en-US" w:eastAsia="zh-CN" w:bidi="ar-SA"/>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ind w:firstLine="31680"/>
              <w:rPr>
                <w:szCs w:val="24"/>
              </w:rPr>
            </w:pPr>
          </w:p>
        </w:tc>
      </w:tr>
    </w:tbl>
    <w:p>
      <w:pPr>
        <w:ind w:firstLine="0" w:firstLineChars="0"/>
        <w:rPr>
          <w:rFonts w:ascii="仿宋_GB2312"/>
          <w:b/>
          <w:sz w:val="28"/>
          <w:szCs w:val="28"/>
        </w:rPr>
      </w:pPr>
    </w:p>
    <w:p>
      <w:pPr>
        <w:pStyle w:val="3"/>
      </w:pPr>
    </w:p>
    <w:p>
      <w:pPr>
        <w:ind w:firstLine="0" w:firstLineChars="0"/>
        <w:jc w:val="center"/>
        <w:rPr>
          <w:rFonts w:ascii="黑体" w:eastAsia="黑体"/>
          <w:b/>
          <w:sz w:val="28"/>
          <w:szCs w:val="28"/>
        </w:rPr>
      </w:pPr>
      <w:r>
        <w:rPr>
          <w:rFonts w:hint="eastAsia" w:ascii="黑体" w:eastAsia="黑体"/>
          <w:b/>
          <w:sz w:val="28"/>
          <w:szCs w:val="28"/>
          <w:lang w:eastAsia="zh-CN"/>
        </w:rPr>
        <w:t>三、</w:t>
      </w:r>
      <w:r>
        <w:rPr>
          <w:rFonts w:hint="eastAsia" w:ascii="黑体" w:hAnsi="黑体" w:eastAsia="黑体" w:cs="黑体"/>
          <w:b/>
          <w:sz w:val="28"/>
          <w:szCs w:val="28"/>
        </w:rPr>
        <w:t>关注民生 推动普惠金融高质量发展</w:t>
      </w:r>
    </w:p>
    <w:p>
      <w:pPr>
        <w:ind w:firstLine="31680"/>
        <w:rPr>
          <w:rFonts w:ascii="仿宋_GB2312"/>
          <w:b/>
          <w:sz w:val="28"/>
          <w:szCs w:val="28"/>
        </w:rPr>
      </w:pPr>
      <w:r>
        <w:rPr>
          <w:rFonts w:hint="eastAsia" w:ascii="仿宋_GB2312"/>
          <w:b/>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12</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r>
              <w:rPr>
                <w:rFonts w:hint="eastAsia"/>
                <w:szCs w:val="24"/>
                <w:lang w:eastAsia="zh-CN"/>
              </w:rPr>
              <w:t>会员单位无需编写</w:t>
            </w:r>
          </w:p>
        </w:tc>
      </w:tr>
    </w:tbl>
    <w:p>
      <w:pPr>
        <w:ind w:firstLine="0" w:firstLineChars="0"/>
        <w:rPr>
          <w:rFonts w:ascii="仿宋_GB2312"/>
          <w:b/>
          <w:sz w:val="28"/>
          <w:szCs w:val="28"/>
        </w:rPr>
      </w:pPr>
    </w:p>
    <w:p>
      <w:pPr>
        <w:ind w:firstLine="31680"/>
        <w:rPr>
          <w:rFonts w:hint="eastAsia" w:ascii="仿宋_GB2312"/>
          <w:b/>
          <w:sz w:val="28"/>
          <w:szCs w:val="28"/>
          <w:lang w:eastAsia="zh-CN"/>
        </w:rPr>
      </w:pPr>
      <w:r>
        <w:rPr>
          <w:rFonts w:hint="eastAsia" w:ascii="仿宋_GB2312"/>
          <w:b/>
        </w:rPr>
        <w:t>●</w:t>
      </w:r>
      <w:r>
        <w:rPr>
          <w:rFonts w:hint="eastAsia" w:ascii="仿宋_GB2312"/>
          <w:b/>
          <w:sz w:val="28"/>
          <w:szCs w:val="28"/>
          <w:lang w:eastAsia="zh-CN"/>
        </w:rPr>
        <w:t>服务乡村振兴</w:t>
      </w:r>
    </w:p>
    <w:p>
      <w:pPr>
        <w:ind w:firstLine="31680"/>
        <w:rPr>
          <w:szCs w:val="24"/>
        </w:rPr>
      </w:pPr>
      <w:r>
        <w:rPr>
          <w:rFonts w:hint="eastAsia"/>
        </w:rPr>
        <w:t>（请参照指引指标</w:t>
      </w:r>
      <w:r>
        <w:rPr>
          <w:rFonts w:hint="eastAsia"/>
          <w:lang w:val="en-US" w:eastAsia="zh-CN"/>
        </w:rPr>
        <w:t>13</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widowControl/>
              <w:spacing w:line="560" w:lineRule="exact"/>
              <w:ind w:firstLine="31680"/>
              <w:jc w:val="left"/>
              <w:rPr>
                <w:rFonts w:hint="default" w:cs="仿宋_GB2312"/>
                <w:highlight w:val="none"/>
                <w:lang w:val="en-US" w:eastAsia="zh-CN"/>
              </w:rPr>
            </w:pPr>
            <w:r>
              <w:rPr>
                <w:highlight w:val="none"/>
              </w:rPr>
              <w:t>20</w:t>
            </w:r>
            <w:r>
              <w:rPr>
                <w:rFonts w:hint="eastAsia"/>
                <w:highlight w:val="none"/>
                <w:lang w:val="en-US" w:eastAsia="zh-CN"/>
              </w:rPr>
              <w:t>23</w:t>
            </w:r>
            <w:r>
              <w:rPr>
                <w:rFonts w:hint="eastAsia" w:cs="仿宋_GB2312"/>
                <w:highlight w:val="none"/>
              </w:rPr>
              <w:t>年，我行合理调整贷款投向，积极支持“三农”、小微企业发展。小微企业贷款完成“两增两控”目标要求。为进一步强化对涉农、小微企业的支持，我行围绕县域内几个工业园区的重点项目，重点培植支持对农村经济有辐射能力的主导产业，积极扶持特色涉农企业。一、</w:t>
            </w:r>
            <w:r>
              <w:rPr>
                <w:rFonts w:hint="eastAsia" w:cs="仿宋_GB2312"/>
                <w:highlight w:val="none"/>
                <w:lang w:val="en-US" w:eastAsia="zh-CN"/>
              </w:rPr>
              <w:t>政策实施方面</w:t>
            </w:r>
          </w:p>
          <w:p>
            <w:pPr>
              <w:widowControl/>
              <w:spacing w:line="560" w:lineRule="exact"/>
              <w:ind w:firstLine="31680"/>
              <w:jc w:val="left"/>
              <w:rPr>
                <w:rFonts w:hint="eastAsia" w:cs="仿宋_GB2312"/>
                <w:highlight w:val="none"/>
              </w:rPr>
            </w:pPr>
            <w:r>
              <w:rPr>
                <w:rFonts w:hint="eastAsia" w:cs="仿宋_GB2312"/>
                <w:highlight w:val="none"/>
                <w:lang w:eastAsia="zh-CN"/>
              </w:rPr>
              <w:t>（</w:t>
            </w:r>
            <w:r>
              <w:rPr>
                <w:rFonts w:hint="eastAsia" w:cs="仿宋_GB2312"/>
                <w:highlight w:val="none"/>
                <w:lang w:val="en-US" w:eastAsia="zh-CN"/>
              </w:rPr>
              <w:t>一</w:t>
            </w:r>
            <w:r>
              <w:rPr>
                <w:rFonts w:hint="eastAsia" w:cs="仿宋_GB2312"/>
                <w:highlight w:val="none"/>
                <w:lang w:eastAsia="zh-CN"/>
              </w:rPr>
              <w:t>）</w:t>
            </w:r>
            <w:r>
              <w:rPr>
                <w:rFonts w:hint="eastAsia" w:cs="仿宋_GB2312"/>
                <w:highlight w:val="none"/>
              </w:rPr>
              <w:t>成立</w:t>
            </w:r>
            <w:r>
              <w:rPr>
                <w:rFonts w:hint="eastAsia" w:cs="仿宋_GB2312"/>
                <w:highlight w:val="none"/>
                <w:lang w:val="en-US" w:eastAsia="zh-CN"/>
              </w:rPr>
              <w:t>金融服务乡村振兴</w:t>
            </w:r>
            <w:r>
              <w:rPr>
                <w:rFonts w:hint="eastAsia" w:cs="仿宋_GB2312"/>
                <w:highlight w:val="none"/>
              </w:rPr>
              <w:t>专项</w:t>
            </w:r>
            <w:r>
              <w:rPr>
                <w:rFonts w:hint="eastAsia" w:cs="仿宋_GB2312"/>
                <w:highlight w:val="none"/>
                <w:lang w:val="en-US" w:eastAsia="zh-CN"/>
              </w:rPr>
              <w:t>工作</w:t>
            </w:r>
            <w:r>
              <w:rPr>
                <w:rFonts w:hint="eastAsia" w:cs="仿宋_GB2312"/>
                <w:highlight w:val="none"/>
              </w:rPr>
              <w:t>领导小组</w:t>
            </w:r>
          </w:p>
          <w:p>
            <w:pPr>
              <w:widowControl/>
              <w:spacing w:line="560" w:lineRule="exact"/>
              <w:ind w:firstLine="31680"/>
              <w:jc w:val="left"/>
              <w:rPr>
                <w:rFonts w:hint="eastAsia" w:cs="仿宋_GB2312"/>
                <w:highlight w:val="none"/>
              </w:rPr>
            </w:pPr>
            <w:r>
              <w:rPr>
                <w:rFonts w:hint="eastAsia" w:cs="仿宋_GB2312"/>
                <w:highlight w:val="none"/>
              </w:rPr>
              <w:t>实行“一把手负责制”，成立以董事长为组长的金融服务乡村振兴专项</w:t>
            </w:r>
            <w:r>
              <w:rPr>
                <w:rFonts w:hint="eastAsia" w:cs="仿宋_GB2312"/>
                <w:highlight w:val="none"/>
                <w:lang w:val="en-US" w:eastAsia="zh-CN"/>
              </w:rPr>
              <w:t>工作</w:t>
            </w:r>
            <w:r>
              <w:rPr>
                <w:rFonts w:hint="eastAsia" w:cs="仿宋_GB2312"/>
                <w:highlight w:val="none"/>
              </w:rPr>
              <w:t>领导小组，负责全面统筹调度金融服务乡村振兴</w:t>
            </w:r>
            <w:r>
              <w:rPr>
                <w:rFonts w:hint="eastAsia" w:cs="仿宋_GB2312"/>
                <w:highlight w:val="none"/>
                <w:lang w:val="en-US" w:eastAsia="zh-CN"/>
              </w:rPr>
              <w:t>工作</w:t>
            </w:r>
            <w:r>
              <w:rPr>
                <w:rFonts w:hint="eastAsia" w:cs="仿宋_GB2312"/>
                <w:highlight w:val="none"/>
              </w:rPr>
              <w:t>的开展。工作小组办公室设在风险管理部，负责制定</w:t>
            </w:r>
            <w:r>
              <w:rPr>
                <w:rFonts w:hint="eastAsia" w:cs="仿宋_GB2312"/>
                <w:highlight w:val="none"/>
                <w:lang w:eastAsia="zh-CN"/>
              </w:rPr>
              <w:t>《</w:t>
            </w:r>
            <w:r>
              <w:rPr>
                <w:rFonts w:hint="eastAsia" w:cs="仿宋_GB2312"/>
                <w:highlight w:val="none"/>
                <w:lang w:val="en-US" w:eastAsia="zh-CN"/>
              </w:rPr>
              <w:t>沂源博商村镇银行金融服务乡村振兴工作方案</w:t>
            </w:r>
            <w:r>
              <w:rPr>
                <w:rFonts w:hint="eastAsia" w:cs="仿宋_GB2312"/>
                <w:highlight w:val="none"/>
                <w:lang w:eastAsia="zh-CN"/>
              </w:rPr>
              <w:t>》，</w:t>
            </w:r>
            <w:r>
              <w:rPr>
                <w:rFonts w:hint="eastAsia" w:cs="仿宋_GB2312"/>
                <w:highlight w:val="none"/>
              </w:rPr>
              <w:t>推动金融服务乡村振兴</w:t>
            </w:r>
            <w:r>
              <w:rPr>
                <w:rFonts w:hint="eastAsia" w:cs="仿宋_GB2312"/>
                <w:highlight w:val="none"/>
                <w:lang w:val="en-US" w:eastAsia="zh-CN"/>
              </w:rPr>
              <w:t>开展</w:t>
            </w:r>
            <w:r>
              <w:rPr>
                <w:rFonts w:hint="eastAsia" w:cs="仿宋_GB2312"/>
                <w:highlight w:val="none"/>
              </w:rPr>
              <w:t>的相关</w:t>
            </w:r>
            <w:r>
              <w:rPr>
                <w:rFonts w:hint="eastAsia" w:cs="仿宋_GB2312"/>
                <w:highlight w:val="none"/>
                <w:lang w:val="en-US" w:eastAsia="zh-CN"/>
              </w:rPr>
              <w:t>工作</w:t>
            </w:r>
            <w:r>
              <w:rPr>
                <w:rFonts w:hint="eastAsia" w:cs="仿宋_GB2312"/>
                <w:highlight w:val="none"/>
              </w:rPr>
              <w:t>要求，督促各支行、各部室贯彻落实。</w:t>
            </w:r>
          </w:p>
          <w:p>
            <w:pPr>
              <w:widowControl/>
              <w:spacing w:line="560" w:lineRule="exact"/>
              <w:ind w:firstLine="31680"/>
              <w:jc w:val="left"/>
              <w:rPr>
                <w:rFonts w:hint="eastAsia" w:cs="仿宋_GB2312"/>
                <w:highlight w:val="none"/>
              </w:rPr>
            </w:pPr>
            <w:r>
              <w:rPr>
                <w:rFonts w:hint="eastAsia" w:cs="仿宋_GB2312"/>
                <w:highlight w:val="none"/>
                <w:lang w:eastAsia="zh-CN"/>
              </w:rPr>
              <w:t>（</w:t>
            </w:r>
            <w:r>
              <w:rPr>
                <w:rFonts w:hint="eastAsia" w:cs="仿宋_GB2312"/>
                <w:highlight w:val="none"/>
                <w:lang w:val="en-US" w:eastAsia="zh-CN"/>
              </w:rPr>
              <w:t>二</w:t>
            </w:r>
            <w:r>
              <w:rPr>
                <w:rFonts w:hint="eastAsia" w:cs="仿宋_GB2312"/>
                <w:highlight w:val="none"/>
                <w:lang w:eastAsia="zh-CN"/>
              </w:rPr>
              <w:t>）</w:t>
            </w:r>
            <w:r>
              <w:rPr>
                <w:rFonts w:hint="eastAsia" w:cs="仿宋_GB2312"/>
                <w:highlight w:val="none"/>
              </w:rPr>
              <w:t>确定金融服务乡村振兴工作目标</w:t>
            </w:r>
          </w:p>
          <w:p>
            <w:pPr>
              <w:widowControl/>
              <w:spacing w:line="560" w:lineRule="exact"/>
              <w:ind w:firstLine="31680"/>
              <w:jc w:val="left"/>
              <w:rPr>
                <w:rFonts w:hint="eastAsia" w:cs="仿宋_GB2312"/>
                <w:highlight w:val="none"/>
              </w:rPr>
            </w:pPr>
            <w:r>
              <w:rPr>
                <w:rFonts w:hint="eastAsia" w:cs="仿宋_GB2312"/>
                <w:highlight w:val="none"/>
                <w:lang w:val="en-US" w:eastAsia="zh-CN"/>
              </w:rPr>
              <w:t>依据金融服务乡村振兴工作相关要求，</w:t>
            </w:r>
            <w:r>
              <w:rPr>
                <w:rFonts w:hint="eastAsia" w:cs="仿宋_GB2312"/>
                <w:highlight w:val="none"/>
              </w:rPr>
              <w:t>从支持疫情防控和经济恢复发展、持续做好高质量服务乡村振兴等方面，</w:t>
            </w:r>
            <w:r>
              <w:rPr>
                <w:rFonts w:hint="eastAsia" w:cs="仿宋_GB2312"/>
                <w:highlight w:val="none"/>
                <w:lang w:val="en-US" w:eastAsia="zh-CN"/>
              </w:rPr>
              <w:t>持续做好金融服务乡村振兴工作</w:t>
            </w:r>
            <w:r>
              <w:rPr>
                <w:rFonts w:hint="eastAsia" w:cs="仿宋_GB2312"/>
                <w:highlight w:val="none"/>
              </w:rPr>
              <w:t>。通过自评估，查找金融服务乡村振兴领域问题和体制机制薄弱环节，进一步夯实金融服务乡村振兴重点环节，进一步加大信贷支持疫情防控和经济持续恢复发展力度，持续深化落实金融供给侧结构性改革要求，提升服务实体经济质效，为立足新发展阶段、贯彻新发展理念、构建新发展格局提供有力支持。</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政策宣传和培训情况</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 xml:space="preserve">    （1）加强人员培训，规范宣传行为。组织所有网点一线宣传工作人员进行集训，严格落实金融服务乡村振兴工作政策要求及精神，统一宣传口号，确保员工全面掌握服务乡村振兴宣传知识，避免发表误导性言论的行为，确保宣传效果。</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2）利用网点优势，大力开展“走村入户”宣传。各营业网点通过LED显示屏滚动播放金融服务乡村振兴宣传标语，在营业网点摆放宣传折页、张贴宣传海报、工作人员主动宣传和讲解等方式进行网点宣传，确保宣传工作的不间断性。同时借助村两委、管区书记支持，利用村广播站等形式进行宣传，通过在助农取款点、营业网点设立宣传点为广大低净值人群进行金融服务乡村振兴知识普及。</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二、制度建设方面</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一）差异化绩效考核制度建设及优化情况。制定《沂源博商村镇银行2022年涉农贷款投放计划》，对涉农贷款实施差异化绩效考核，将涉农贷款绩效考核比重提升至20%，充分调动内部人员营销涉农贷款的积极性，确保完成监管部门关于涉农贷款投放的各项监管指标要求，进一步服务乡村振兴。</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涉农信贷业务尽职免责制度建设及优化情况。2023年以来，我行继续健全完善涉农贷款尽职免责制度，充分调动授信部门和授信工作人员的工作积极性，明确规定了尽职免责的适用对象、审核程序、认定标准、免责事由、免责范围等。各项信贷工作一直坚持年初制定的涉农工作计划，绩效考核也着重向涉农贷款倾斜，在加大涉农信贷投放力度的同时，进一步加强涉农信贷业务的风险把控力度。 金融创新方面</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农村金融产品创新情况</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积极开展农村承包土地经营权抵押贷款。我行自开展农村承包土地的经营权抵押贷款试点工作以来，及时对存量客户进行了全面回访，筛选追加经营权证。并通过大力宣传、积极营销农村土地承包经营权抵押贷款。</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积极开展农村承包土地经营权抵押贷款。</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农村金融服务创新情况。充分发挥支行网点的地理优势，以点带面对周边乡镇、农村开展“地毯式”上门服务。同时不断加大宣传力度，有效促进了储蓄业务的发展。制定贷款“限时办结”、“一站式”服务等机制，简化业务手续，全力提升业务效率。围绕银行卡业务推出了免年费、免转账手续费、免网上银行办理手续费、免短信通知费等多项免费措施，并持续开展丰富多彩的优惠活动。同时高度重视廉洁服务，制定“十不准”规定，对员工“吃、拿、卡、要”行为实行“零容忍”。积极提升营业环境，优化软硬件设施，受到社会各界的一致好评。</w:t>
            </w:r>
          </w:p>
          <w:p>
            <w:pPr>
              <w:widowControl/>
              <w:spacing w:line="560" w:lineRule="exact"/>
              <w:ind w:firstLine="31680"/>
              <w:jc w:val="left"/>
              <w:rPr>
                <w:rFonts w:hint="default" w:cs="仿宋_GB2312"/>
                <w:highlight w:val="none"/>
                <w:lang w:val="en-US" w:eastAsia="zh-CN"/>
              </w:rPr>
            </w:pPr>
            <w:r>
              <w:rPr>
                <w:rFonts w:hint="eastAsia" w:cs="仿宋_GB2312"/>
                <w:highlight w:val="none"/>
                <w:lang w:val="en-US" w:eastAsia="zh-CN"/>
              </w:rPr>
              <w:t>农户授信整体情况。鉴于当前农户、农村个体工商户普遍存在的融资难、担保难问题，我行积极创新担保方式，从2017年开始，在充分调查了解借款人资信状况的前提下，我行办理发放了部分信用贷款，有效解决了这部分农户、农户个体工商户自身经营状况良好但却无法提供有效担保的难题。其中“村村通、惠农贷”是我行2016年年初推行，因准入门槛低、放款快、便捷高效的贷款产品性质，一经推出，受到广大农村客户的一致好评，在2023年我行又对其产品做出了升级，提升了贷款的金额，并同时降低了该贷款的利率，有效支持和满足了这部分农户的生产经营和消费需求。</w:t>
            </w:r>
          </w:p>
          <w:p>
            <w:pPr>
              <w:widowControl/>
              <w:spacing w:line="560" w:lineRule="exact"/>
              <w:ind w:firstLine="31680"/>
              <w:jc w:val="left"/>
              <w:rPr>
                <w:rFonts w:hint="default" w:cs="仿宋_GB2312"/>
                <w:highlight w:val="none"/>
                <w:lang w:val="en-US" w:eastAsia="zh-CN"/>
              </w:rPr>
            </w:pPr>
            <w:r>
              <w:rPr>
                <w:rFonts w:hint="eastAsia" w:cs="仿宋_GB2312"/>
                <w:highlight w:val="none"/>
                <w:lang w:val="en-US" w:eastAsia="zh-CN"/>
              </w:rPr>
              <w:t>金融环境方面</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2023年末我行在农村区域建有的银行卡受理设备数（含ATM、及其他受理终端）共计92台。通过这部分惠农机具的布设，有效解决了农户日常资金使用的需求，进一步推动了乡村振兴工作的深入。</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外部评价情况</w:t>
            </w:r>
          </w:p>
          <w:p>
            <w:pPr>
              <w:widowControl/>
              <w:spacing w:line="560" w:lineRule="exact"/>
              <w:ind w:firstLine="31680"/>
              <w:jc w:val="left"/>
              <w:rPr>
                <w:rFonts w:hint="eastAsia" w:cs="仿宋_GB2312"/>
                <w:highlight w:val="none"/>
                <w:lang w:val="en-US" w:eastAsia="zh-CN"/>
              </w:rPr>
            </w:pPr>
            <w:r>
              <w:rPr>
                <w:rFonts w:hint="eastAsia" w:cs="仿宋_GB2312"/>
                <w:highlight w:val="none"/>
                <w:lang w:val="en-US" w:eastAsia="zh-CN"/>
              </w:rPr>
              <w:t>2023年以来，我行积极响应国家助力乡村振兴各项政策，严格落实监管部门各项监管政策要求，详细制定落实金融服务乡村振兴各项工作计划和措施，有效助力了辖区内乡村振兴政策的落地和实施，获得了县委、县政府及相关部门的一致好评。</w:t>
            </w:r>
          </w:p>
          <w:p>
            <w:pPr>
              <w:ind w:firstLine="31680"/>
              <w:rPr>
                <w:szCs w:val="24"/>
              </w:rPr>
            </w:pPr>
          </w:p>
          <w:p>
            <w:pPr>
              <w:pStyle w:val="3"/>
            </w:pP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支持民营经济和小微企业</w:t>
      </w:r>
    </w:p>
    <w:p>
      <w:pPr>
        <w:ind w:firstLine="31680"/>
        <w:rPr>
          <w:szCs w:val="24"/>
        </w:rPr>
      </w:pPr>
      <w:r>
        <w:rPr>
          <w:rFonts w:hint="eastAsia"/>
        </w:rPr>
        <w:t>（请参照指引指标</w:t>
      </w:r>
      <w:r>
        <w:rPr>
          <w:rFonts w:hint="eastAsia"/>
          <w:lang w:val="en-US" w:eastAsia="zh-CN"/>
        </w:rPr>
        <w:t>14</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numPr>
                <w:ilvl w:val="0"/>
                <w:numId w:val="0"/>
              </w:numPr>
              <w:adjustRightInd w:val="0"/>
              <w:snapToGrid w:val="0"/>
              <w:spacing w:line="600" w:lineRule="exact"/>
              <w:ind w:firstLine="480" w:firstLineChars="200"/>
              <w:rPr>
                <w:rFonts w:hint="eastAsia" w:cs="仿宋_GB2312"/>
                <w:highlight w:val="none"/>
              </w:rPr>
            </w:pPr>
            <w:r>
              <w:rPr>
                <w:rFonts w:hint="eastAsia" w:cs="仿宋_GB2312"/>
                <w:highlight w:val="none"/>
              </w:rPr>
              <w:t>完善小微企业金融服务相关政策，合理配置信贷规模。一是依据相关金融政策、法律法规的规定和监管部门监管政策的要求，并结合小微企业金融服务实际工作中的实际情况，不断完善我行关于小微企业金融服务的相关规章制度，不断简化小微企业信贷业务调查、审查、审批流程，在严格把控信贷风险的前提下，加大小微企业信贷投放规模；二是合理规划有限的信贷资金规模。在全行信贷规模非常有限的情况下，争取为小微企业匹配了更多的信贷规模。</w:t>
            </w:r>
          </w:p>
          <w:p>
            <w:pPr>
              <w:numPr>
                <w:ilvl w:val="0"/>
                <w:numId w:val="0"/>
              </w:numPr>
              <w:adjustRightInd w:val="0"/>
              <w:snapToGrid w:val="0"/>
              <w:spacing w:line="600" w:lineRule="exact"/>
              <w:ind w:firstLine="480" w:firstLineChars="200"/>
              <w:rPr>
                <w:rFonts w:hint="eastAsia" w:cs="仿宋_GB2312"/>
                <w:highlight w:val="none"/>
              </w:rPr>
            </w:pPr>
            <w:r>
              <w:rPr>
                <w:rFonts w:hint="eastAsia" w:cs="仿宋_GB2312"/>
                <w:highlight w:val="none"/>
              </w:rPr>
              <w:t>不断提高服务质量，大力开发新信贷产品。我行认真贯彻落实银监局各项监管政策的要求，根据小微企业资金需求“短、小、频、急”的特点，我行积极开辟了“中小企业贷款绿色通道”，加快了办贷时间，提高了办贷效率。同时，结合自身服务特色和市场变化，积极探索行之有效的担保和贷款方式，为各类企业融资推出了新的贷款品种。</w:t>
            </w:r>
            <w:r>
              <w:rPr>
                <w:highlight w:val="none"/>
              </w:rPr>
              <w:t>2</w:t>
            </w:r>
            <w:r>
              <w:rPr>
                <w:rFonts w:hint="eastAsia"/>
                <w:highlight w:val="none"/>
                <w:lang w:val="en-US" w:eastAsia="zh-CN"/>
              </w:rPr>
              <w:t>3</w:t>
            </w:r>
            <w:r>
              <w:rPr>
                <w:rFonts w:hint="eastAsia" w:cs="仿宋_GB2312"/>
                <w:highlight w:val="none"/>
              </w:rPr>
              <w:t>年以来，我行在原有企业贷款产品的基础上，先后推出了流水贷、消费贷</w:t>
            </w:r>
            <w:r>
              <w:rPr>
                <w:rFonts w:hint="eastAsia" w:cs="仿宋_GB2312"/>
                <w:highlight w:val="none"/>
                <w:lang w:eastAsia="zh-CN"/>
              </w:rPr>
              <w:t>、</w:t>
            </w:r>
            <w:r>
              <w:rPr>
                <w:rFonts w:hint="eastAsia" w:cs="仿宋_GB2312"/>
                <w:highlight w:val="none"/>
                <w:lang w:val="en-US" w:eastAsia="zh-CN"/>
              </w:rPr>
              <w:t>闪闪贷</w:t>
            </w:r>
            <w:r>
              <w:rPr>
                <w:rFonts w:hint="eastAsia" w:cs="仿宋_GB2312"/>
                <w:highlight w:val="none"/>
              </w:rPr>
              <w:t>等一系列符合当前小微企业融资需求的信贷产品，极大的满足了当前小微企业对信贷资金的需求。</w:t>
            </w:r>
          </w:p>
          <w:p>
            <w:pPr>
              <w:numPr>
                <w:ilvl w:val="0"/>
                <w:numId w:val="0"/>
              </w:numPr>
              <w:adjustRightInd w:val="0"/>
              <w:snapToGrid w:val="0"/>
              <w:spacing w:line="600" w:lineRule="exact"/>
              <w:ind w:firstLine="480" w:firstLineChars="200"/>
              <w:rPr>
                <w:rFonts w:hint="default" w:cs="仿宋_GB2312"/>
                <w:highlight w:val="none"/>
              </w:rPr>
            </w:pPr>
            <w:r>
              <w:rPr>
                <w:rFonts w:hint="default" w:cs="仿宋_GB2312"/>
                <w:highlight w:val="none"/>
              </w:rPr>
              <w:t>确保信贷增量。围绕“两增”目标，持续加大普惠型小微企业贷款（即单户授信1000万元以下（含）小微企业贷款，且剔除票据贴现和转贴现业务，下同）投放力度，202</w:t>
            </w:r>
            <w:r>
              <w:rPr>
                <w:rFonts w:hint="eastAsia" w:cs="仿宋_GB2312"/>
                <w:highlight w:val="none"/>
                <w:lang w:val="en-US" w:eastAsia="zh-CN"/>
              </w:rPr>
              <w:t>3</w:t>
            </w:r>
            <w:r>
              <w:rPr>
                <w:rFonts w:hint="default" w:cs="仿宋_GB2312"/>
                <w:highlight w:val="none"/>
              </w:rPr>
              <w:t>年努力实现此类贷款较年初增速不低于各项贷款增速，有贷款余额的户数不低于年初水平的“两增”目标。在努力实现“两增”的同时，进一步提升普惠型小微企业贷款在各项贷款（均剔除票据贴现和转贴现业务数据，下同）中的占比，</w:t>
            </w:r>
            <w:r>
              <w:rPr>
                <w:rFonts w:hint="default" w:cs="仿宋_GB2312"/>
                <w:highlight w:val="none"/>
                <w:lang w:val="en-US" w:eastAsia="zh-CN"/>
              </w:rPr>
              <w:t>继续</w:t>
            </w:r>
            <w:r>
              <w:rPr>
                <w:rFonts w:hint="default" w:cs="仿宋_GB2312"/>
                <w:highlight w:val="none"/>
              </w:rPr>
              <w:t>保持普惠型小微企业贷款占各项贷款比重整体不低于60%。</w:t>
            </w:r>
          </w:p>
          <w:p>
            <w:pPr>
              <w:numPr>
                <w:ilvl w:val="0"/>
                <w:numId w:val="0"/>
              </w:numPr>
              <w:adjustRightInd w:val="0"/>
              <w:snapToGrid w:val="0"/>
              <w:spacing w:line="600" w:lineRule="exact"/>
              <w:ind w:firstLine="480" w:firstLineChars="200"/>
              <w:rPr>
                <w:rFonts w:hint="default" w:cs="仿宋_GB2312"/>
                <w:highlight w:val="none"/>
                <w:lang w:val="en-US" w:eastAsia="zh-CN"/>
              </w:rPr>
            </w:pPr>
            <w:r>
              <w:rPr>
                <w:rFonts w:hint="default" w:cs="仿宋_GB2312"/>
                <w:highlight w:val="none"/>
              </w:rPr>
              <w:t>制定信贷计划。统筹考虑普惠型小微企业贷款增速、占比提升等要求，继续单列并科学制定全年普惠型小微企业信贷计划。</w:t>
            </w:r>
          </w:p>
          <w:p>
            <w:pPr>
              <w:numPr>
                <w:ilvl w:val="0"/>
                <w:numId w:val="0"/>
              </w:numPr>
              <w:adjustRightInd w:val="0"/>
              <w:snapToGrid w:val="0"/>
              <w:spacing w:line="600" w:lineRule="exact"/>
              <w:ind w:firstLine="480" w:firstLineChars="200"/>
              <w:rPr>
                <w:rFonts w:hint="default" w:cs="仿宋_GB2312"/>
                <w:highlight w:val="none"/>
              </w:rPr>
            </w:pPr>
            <w:r>
              <w:rPr>
                <w:rFonts w:hint="default" w:cs="仿宋_GB2312"/>
                <w:highlight w:val="none"/>
              </w:rPr>
              <w:t>优化信贷格局。明确自身</w:t>
            </w:r>
            <w:r>
              <w:rPr>
                <w:rFonts w:hint="default" w:cs="仿宋_GB2312"/>
                <w:highlight w:val="none"/>
                <w:lang w:val="en-US" w:eastAsia="zh-CN"/>
              </w:rPr>
              <w:t>村镇银行</w:t>
            </w:r>
            <w:r>
              <w:rPr>
                <w:rFonts w:hint="default" w:cs="仿宋_GB2312"/>
                <w:highlight w:val="none"/>
              </w:rPr>
              <w:t>定位，</w:t>
            </w:r>
            <w:r>
              <w:rPr>
                <w:rFonts w:hint="default" w:cs="仿宋_GB2312"/>
                <w:highlight w:val="none"/>
                <w:lang w:val="en-US" w:eastAsia="zh-CN"/>
              </w:rPr>
              <w:t>继续“做小、做散、做广”</w:t>
            </w:r>
            <w:r>
              <w:rPr>
                <w:rFonts w:hint="default" w:cs="仿宋_GB2312"/>
                <w:highlight w:val="none"/>
              </w:rPr>
              <w:t>。</w:t>
            </w:r>
            <w:r>
              <w:rPr>
                <w:rFonts w:hint="default" w:cs="仿宋_GB2312"/>
                <w:highlight w:val="none"/>
                <w:lang w:val="en-US" w:eastAsia="zh-CN"/>
              </w:rPr>
              <w:t>重点营销服务</w:t>
            </w:r>
            <w:r>
              <w:rPr>
                <w:rFonts w:hint="default" w:cs="仿宋_GB2312"/>
                <w:highlight w:val="none"/>
              </w:rPr>
              <w:t>小微企业融资供给“空白地带”，努力实现202</w:t>
            </w:r>
            <w:r>
              <w:rPr>
                <w:rFonts w:hint="eastAsia" w:cs="仿宋_GB2312"/>
                <w:highlight w:val="none"/>
                <w:lang w:val="en-US" w:eastAsia="zh-CN"/>
              </w:rPr>
              <w:t>3</w:t>
            </w:r>
            <w:r>
              <w:rPr>
                <w:rFonts w:hint="default" w:cs="仿宋_GB2312"/>
                <w:highlight w:val="none"/>
              </w:rPr>
              <w:t>年新增小型微型企业“首贷户”数量高于202</w:t>
            </w:r>
            <w:r>
              <w:rPr>
                <w:rFonts w:hint="eastAsia" w:cs="仿宋_GB2312"/>
                <w:highlight w:val="none"/>
                <w:lang w:val="en-US" w:eastAsia="zh-CN"/>
              </w:rPr>
              <w:t>2</w:t>
            </w:r>
            <w:r>
              <w:rPr>
                <w:rFonts w:hint="default" w:cs="仿宋_GB2312"/>
                <w:highlight w:val="none"/>
              </w:rPr>
              <w:t>年。将小微企业“首贷户”占比纳入内部绩效指标</w:t>
            </w:r>
            <w:r>
              <w:rPr>
                <w:rFonts w:hint="default" w:cs="仿宋_GB2312"/>
                <w:highlight w:val="none"/>
                <w:lang w:eastAsia="zh-CN"/>
              </w:rPr>
              <w:t>，</w:t>
            </w:r>
            <w:r>
              <w:rPr>
                <w:rFonts w:hint="default" w:cs="仿宋_GB2312"/>
                <w:highlight w:val="none"/>
                <w:lang w:val="en-US" w:eastAsia="zh-CN"/>
              </w:rPr>
              <w:t>进一步扩大普惠型小微企业贷款考核占比，将普惠型小微企业贷款指标完成情况年度绩效考核占比提升至20%，年末绩效考核进行统算</w:t>
            </w:r>
            <w:r>
              <w:rPr>
                <w:rFonts w:hint="default" w:cs="仿宋_GB2312"/>
                <w:highlight w:val="none"/>
              </w:rPr>
              <w:t>。</w:t>
            </w:r>
          </w:p>
          <w:p>
            <w:pPr>
              <w:numPr>
                <w:ilvl w:val="0"/>
                <w:numId w:val="0"/>
              </w:numPr>
              <w:adjustRightInd w:val="0"/>
              <w:snapToGrid w:val="0"/>
              <w:spacing w:line="600" w:lineRule="exact"/>
              <w:ind w:firstLine="480" w:firstLineChars="200"/>
              <w:rPr>
                <w:rFonts w:hint="default" w:cs="仿宋_GB2312"/>
                <w:highlight w:val="none"/>
              </w:rPr>
            </w:pPr>
            <w:r>
              <w:rPr>
                <w:rFonts w:hint="default" w:cs="仿宋_GB2312"/>
                <w:highlight w:val="none"/>
              </w:rPr>
              <w:t>管控融资成本。</w:t>
            </w:r>
            <w:r>
              <w:rPr>
                <w:rFonts w:hint="default" w:cs="仿宋_GB2312"/>
                <w:highlight w:val="none"/>
                <w:lang w:val="en-US" w:eastAsia="zh-CN"/>
              </w:rPr>
              <w:t>继续</w:t>
            </w:r>
            <w:r>
              <w:rPr>
                <w:rFonts w:hint="default" w:cs="仿宋_GB2312"/>
                <w:highlight w:val="none"/>
              </w:rPr>
              <w:t>加强对小微企业贷款的优惠力度，确保202</w:t>
            </w:r>
            <w:r>
              <w:rPr>
                <w:rFonts w:hint="eastAsia" w:cs="仿宋_GB2312"/>
                <w:highlight w:val="none"/>
                <w:lang w:val="en-US" w:eastAsia="zh-CN"/>
              </w:rPr>
              <w:t>3</w:t>
            </w:r>
            <w:r>
              <w:rPr>
                <w:rFonts w:hint="default" w:cs="仿宋_GB2312"/>
                <w:highlight w:val="none"/>
              </w:rPr>
              <w:t>年新发放普惠型小微企业贷款利率</w:t>
            </w:r>
            <w:r>
              <w:rPr>
                <w:rFonts w:hint="default" w:cs="仿宋_GB2312"/>
                <w:highlight w:val="none"/>
                <w:lang w:val="en-US" w:eastAsia="zh-CN"/>
              </w:rPr>
              <w:t>低于</w:t>
            </w:r>
            <w:r>
              <w:rPr>
                <w:rFonts w:hint="default" w:cs="仿宋_GB2312"/>
                <w:highlight w:val="none"/>
              </w:rPr>
              <w:t>202</w:t>
            </w:r>
            <w:r>
              <w:rPr>
                <w:rFonts w:hint="eastAsia" w:cs="仿宋_GB2312"/>
                <w:highlight w:val="none"/>
                <w:lang w:val="en-US" w:eastAsia="zh-CN"/>
              </w:rPr>
              <w:t>2</w:t>
            </w:r>
            <w:r>
              <w:rPr>
                <w:rFonts w:hint="default" w:cs="仿宋_GB2312"/>
                <w:highlight w:val="none"/>
              </w:rPr>
              <w:t>年</w:t>
            </w:r>
            <w:r>
              <w:rPr>
                <w:rFonts w:hint="default" w:cs="仿宋_GB2312"/>
                <w:highlight w:val="none"/>
                <w:lang w:val="en-US" w:eastAsia="zh-CN"/>
              </w:rPr>
              <w:t>利率水平</w:t>
            </w:r>
            <w:r>
              <w:rPr>
                <w:rFonts w:hint="default" w:cs="仿宋_GB2312"/>
                <w:highlight w:val="none"/>
              </w:rPr>
              <w:t>。严格执行规范商业银行服务价格管理和信贷融资收费的规定，杜绝违规收费行为。通过银保合作或与第三方机构合作向小微企业提供融资服务的，评估各环节费用，合理确定综合成本，避免多段收费加重小微企业实际融资负担。积极践行社会责任，向小微企业特别是因疫情遇困的小微企业主动减免服务收费。</w:t>
            </w:r>
          </w:p>
          <w:p>
            <w:pPr>
              <w:numPr>
                <w:ilvl w:val="0"/>
                <w:numId w:val="0"/>
              </w:numPr>
              <w:adjustRightInd w:val="0"/>
              <w:snapToGrid w:val="0"/>
              <w:spacing w:line="600" w:lineRule="exact"/>
              <w:ind w:firstLine="480" w:firstLineChars="200"/>
              <w:rPr>
                <w:rFonts w:hint="default" w:cs="仿宋_GB2312"/>
                <w:highlight w:val="none"/>
              </w:rPr>
            </w:pPr>
            <w:r>
              <w:rPr>
                <w:rFonts w:hint="default" w:cs="仿宋_GB2312"/>
                <w:highlight w:val="none"/>
              </w:rPr>
              <w:t>确保信贷真实。</w:t>
            </w:r>
            <w:r>
              <w:rPr>
                <w:rFonts w:hint="default" w:cs="仿宋_GB2312"/>
                <w:highlight w:val="none"/>
                <w:lang w:val="en-US" w:eastAsia="zh-CN"/>
              </w:rPr>
              <w:t>继续严格落实</w:t>
            </w:r>
            <w:r>
              <w:rPr>
                <w:rFonts w:hint="default" w:cs="仿宋_GB2312"/>
                <w:highlight w:val="none"/>
              </w:rPr>
              <w:t>贷款“三查”</w:t>
            </w:r>
            <w:r>
              <w:rPr>
                <w:rFonts w:hint="default" w:cs="仿宋_GB2312"/>
                <w:highlight w:val="none"/>
                <w:lang w:val="en-US" w:eastAsia="zh-CN"/>
              </w:rPr>
              <w:t>制度</w:t>
            </w:r>
            <w:r>
              <w:rPr>
                <w:rFonts w:hint="default" w:cs="仿宋_GB2312"/>
                <w:highlight w:val="none"/>
              </w:rPr>
              <w:t>，严禁虚构小微企业贷款用途“套利”，防止信贷资金流入资本市场和政府融资平台、房地产等领域。严格监测资金用途，确保贷款全部投向小微企业。</w:t>
            </w:r>
          </w:p>
          <w:p>
            <w:pPr>
              <w:pStyle w:val="12"/>
              <w:rPr>
                <w:rFonts w:hint="eastAsia" w:cs="Times New Roman"/>
                <w:lang w:val="en-US" w:eastAsia="zh-CN"/>
              </w:rPr>
            </w:pPr>
          </w:p>
          <w:p>
            <w:pPr>
              <w:pStyle w:val="12"/>
              <w:rPr>
                <w:rFonts w:hint="eastAsia" w:cs="Times New Roman"/>
                <w:lang w:val="en-US" w:eastAsia="zh-CN"/>
              </w:rPr>
            </w:pPr>
          </w:p>
        </w:tc>
      </w:tr>
    </w:tbl>
    <w:p>
      <w:pPr>
        <w:ind w:firstLine="0" w:firstLineChars="0"/>
        <w:rPr>
          <w:rFonts w:ascii="仿宋_GB2312"/>
          <w:b/>
          <w:sz w:val="28"/>
          <w:szCs w:val="28"/>
        </w:rPr>
      </w:pPr>
    </w:p>
    <w:p>
      <w:pPr>
        <w:ind w:firstLine="31680"/>
        <w:rPr>
          <w:rFonts w:hint="eastAsia" w:ascii="仿宋_GB2312" w:eastAsia="仿宋_GB2312"/>
          <w:b/>
          <w:sz w:val="28"/>
          <w:szCs w:val="28"/>
          <w:lang w:val="en-US" w:eastAsia="zh-CN"/>
        </w:rPr>
      </w:pPr>
      <w:r>
        <w:rPr>
          <w:rFonts w:hint="eastAsia" w:ascii="仿宋_GB2312"/>
          <w:b/>
        </w:rPr>
        <w:t>●</w:t>
      </w:r>
      <w:r>
        <w:rPr>
          <w:rFonts w:hint="eastAsia" w:ascii="仿宋_GB2312"/>
          <w:b/>
          <w:sz w:val="28"/>
          <w:szCs w:val="28"/>
          <w:lang w:eastAsia="zh-CN"/>
        </w:rPr>
        <w:t>助力科技创新</w:t>
      </w:r>
    </w:p>
    <w:p>
      <w:pPr>
        <w:ind w:firstLine="31680"/>
        <w:rPr>
          <w:szCs w:val="24"/>
        </w:rPr>
      </w:pPr>
      <w:r>
        <w:rPr>
          <w:rFonts w:hint="eastAsia"/>
        </w:rPr>
        <w:t>（请参照指引指标</w:t>
      </w:r>
      <w:r>
        <w:rPr>
          <w:rFonts w:hint="eastAsia"/>
          <w:lang w:val="en-US" w:eastAsia="zh-CN"/>
        </w:rPr>
        <w:t>15</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pStyle w:val="12"/>
            </w:pPr>
          </w:p>
          <w:p>
            <w:pPr>
              <w:pStyle w:val="12"/>
            </w:pPr>
          </w:p>
        </w:tc>
      </w:tr>
    </w:tbl>
    <w:p>
      <w:pPr>
        <w:ind w:firstLine="0" w:firstLineChars="0"/>
        <w:rPr>
          <w:sz w:val="28"/>
          <w:szCs w:val="28"/>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ind w:firstLine="31680"/>
              <w:rPr>
                <w:szCs w:val="24"/>
              </w:rPr>
            </w:pPr>
          </w:p>
        </w:tc>
      </w:tr>
    </w:tbl>
    <w:p>
      <w:pPr>
        <w:ind w:firstLine="0" w:firstLineChars="0"/>
        <w:rPr>
          <w:b/>
          <w:sz w:val="28"/>
          <w:szCs w:val="28"/>
        </w:rPr>
      </w:pPr>
    </w:p>
    <w:p>
      <w:pPr>
        <w:ind w:firstLine="0" w:firstLineChars="0"/>
        <w:rPr>
          <w:b/>
          <w:sz w:val="28"/>
          <w:szCs w:val="28"/>
        </w:rPr>
      </w:pPr>
    </w:p>
    <w:p>
      <w:pPr>
        <w:ind w:firstLine="0" w:firstLineChars="0"/>
        <w:jc w:val="center"/>
        <w:rPr>
          <w:rFonts w:ascii="黑体" w:eastAsia="黑体"/>
          <w:b/>
          <w:sz w:val="28"/>
          <w:szCs w:val="28"/>
        </w:rPr>
      </w:pPr>
      <w:r>
        <w:rPr>
          <w:rFonts w:hint="eastAsia" w:ascii="黑体" w:eastAsia="黑体"/>
          <w:b/>
          <w:sz w:val="28"/>
          <w:szCs w:val="28"/>
          <w:lang w:eastAsia="zh-CN"/>
        </w:rPr>
        <w:t>四、防范风险 提升行业规范水平</w:t>
      </w:r>
    </w:p>
    <w:p>
      <w:pPr>
        <w:ind w:firstLine="31680"/>
        <w:rPr>
          <w:rFonts w:ascii="仿宋_GB2312"/>
          <w:b/>
          <w:sz w:val="28"/>
          <w:szCs w:val="28"/>
        </w:rPr>
      </w:pPr>
      <w:r>
        <w:rPr>
          <w:rFonts w:hint="eastAsia" w:ascii="仿宋_GB2312"/>
          <w:b/>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16</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left="0" w:leftChars="0" w:firstLine="0" w:firstLineChars="0"/>
              <w:rPr>
                <w:rFonts w:hint="default" w:eastAsia="仿宋_GB2312"/>
                <w:szCs w:val="24"/>
                <w:lang w:val="en-US" w:eastAsia="zh-CN"/>
              </w:rPr>
            </w:pPr>
            <w:r>
              <w:rPr>
                <w:rFonts w:hint="eastAsia"/>
                <w:szCs w:val="24"/>
                <w:lang w:val="en-US" w:eastAsia="zh-CN"/>
              </w:rPr>
              <w:t xml:space="preserve">    </w:t>
            </w:r>
            <w:r>
              <w:rPr>
                <w:rFonts w:hint="eastAsia"/>
                <w:szCs w:val="24"/>
                <w:lang w:eastAsia="zh-CN"/>
              </w:rPr>
              <w:t>会员单位无需编写</w:t>
            </w: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加强金融风险管理</w:t>
      </w:r>
    </w:p>
    <w:p>
      <w:pPr>
        <w:ind w:firstLine="31680"/>
        <w:rPr>
          <w:szCs w:val="24"/>
        </w:rPr>
      </w:pPr>
      <w:r>
        <w:rPr>
          <w:rFonts w:hint="eastAsia"/>
        </w:rPr>
        <w:t>（请参照指引指标</w:t>
      </w:r>
      <w:r>
        <w:rPr>
          <w:rFonts w:hint="eastAsia"/>
          <w:lang w:val="en-US" w:eastAsia="zh-CN"/>
        </w:rPr>
        <w:t>17</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rFonts w:hint="eastAsia" w:cs="仿宋_GB2312"/>
                <w:highlight w:val="none"/>
              </w:rPr>
            </w:pPr>
            <w:r>
              <w:rPr>
                <w:rFonts w:hint="eastAsia"/>
                <w:szCs w:val="24"/>
                <w:highlight w:val="none"/>
                <w:lang w:val="en-US" w:eastAsia="zh-CN"/>
              </w:rPr>
              <w:t>打赢防范化解重大风险攻坚战，是迈向高质量发展必须跨越的关口。改革发展正处在攻坚克难、闯关夺隘的重要阶段，各类系统性风险增多，风险联动性增强，需要我们不断增强发现风险、认识风险、化解风险的本领，提高防范化解重大风险的能力。</w:t>
            </w:r>
            <w:r>
              <w:rPr>
                <w:rFonts w:hint="eastAsia" w:cs="仿宋_GB2312"/>
                <w:highlight w:val="none"/>
              </w:rPr>
              <w:t>制订并下发风险管理政策，包括信贷投向、信贷结构、行业及客户限额、流动性管理指标、合规与操作风险控制要求等，我行风险管理部对此意见进行督促落实。按月开展非现场风险指标监测，进行风险预警和分析。定期向风险管理委员会报告相关风险指标监测表，前期指标主要包括信用风险指标、流动性风险指标和限额指标，如指标发生异常变化则下发风险提示书或整改意见书，进行调整或控制。定期开展风险排查并要求其上报风险报告，以便全面了解和掌握我行内控、合规与风险管理情况，进行风险监测和指导。</w:t>
            </w:r>
          </w:p>
          <w:p>
            <w:pPr>
              <w:ind w:firstLine="31680"/>
              <w:rPr>
                <w:rFonts w:hint="eastAsia" w:cs="仿宋_GB2312"/>
                <w:highlight w:val="none"/>
              </w:rPr>
            </w:pPr>
            <w:r>
              <w:rPr>
                <w:rFonts w:hint="eastAsia" w:cs="仿宋_GB2312"/>
                <w:highlight w:val="none"/>
              </w:rPr>
              <w:t>建立重点风险客户包干处置和高管人员挂牌督办机制。针对重点风险客户，我行将根据自身情况，尽快建立重点风险客户包干处置和高管人员挂牌督办机制，加大对重点地区、重点领域、重点客户的风险排查力度，及时发现风险，及时采取风险处置预案。同时定期、有针对性的开展信用风险压力测试，分析相关风险因素，制定行之有效的处置预案。继续严格遵循资产质量划分原则，在全面掌握借款人综合信用状况的基础上，完善内部管理和监测制度，保证贷款分类的真实性和准确性，切实按照《贷款风险分类指引》等相关规定真实反映资产质量，做到“不隐瞒、不虚报”。谨慎退出风险客户。针对已经出现风险苗头的企业，我行将区分情况，一户一策，不抽贷压贷，帮助企业渡过难关，对于长期亏损、已经出现影响信贷资产安全的企业，我行将通过积极的联系和协商，为其制定切实有效的资产保全计划，稳妥有效推动企业重组整合或推出市场。</w:t>
            </w:r>
          </w:p>
          <w:p>
            <w:pPr>
              <w:pStyle w:val="12"/>
            </w:pPr>
          </w:p>
          <w:p>
            <w:pPr>
              <w:pStyle w:val="12"/>
            </w:pP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强化内控合规管理</w:t>
      </w:r>
    </w:p>
    <w:p>
      <w:pPr>
        <w:ind w:firstLine="31680"/>
        <w:rPr>
          <w:szCs w:val="24"/>
        </w:rPr>
      </w:pPr>
      <w:r>
        <w:rPr>
          <w:rFonts w:hint="eastAsia"/>
        </w:rPr>
        <w:t>（请参照指引指标</w:t>
      </w:r>
      <w:r>
        <w:rPr>
          <w:rFonts w:hint="eastAsia"/>
          <w:lang w:val="en-US" w:eastAsia="zh-CN"/>
        </w:rPr>
        <w:t>18</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ind w:firstLine="31680"/>
              <w:rPr>
                <w:szCs w:val="24"/>
                <w:highlight w:val="none"/>
              </w:rPr>
            </w:pPr>
            <w:r>
              <w:rPr>
                <w:rFonts w:hint="eastAsia" w:cs="仿宋_GB2312"/>
                <w:highlight w:val="none"/>
              </w:rPr>
              <w:t>针对业务异常变化或风险指标变化，组织风险、合规人员进行现场风险排查或专项业务检查，有效识别和控制风险。制订并推动实施我行内控评价办法和实施细则，按季度组织审计人员开展全面内控审计评价，对内控及风险管理情况进行稽核监督，持续跟踪管理变化，并对发现问题下发审计整改意见书并进行后续审计监督。开展以内控及风险管理为核心的绩效考核。通过设置贷款五级分类准确性、不良贷款率、成本收入比、贷款拨备比率、监管评级等指标，引导我行全力构建符合我行特色和监管要求的风险管理机制，达到稳增长、控风险的可持续经营目标。</w:t>
            </w:r>
          </w:p>
          <w:p>
            <w:pPr>
              <w:rPr>
                <w:szCs w:val="24"/>
              </w:rPr>
            </w:pPr>
          </w:p>
          <w:p>
            <w:pPr>
              <w:pStyle w:val="3"/>
            </w:pPr>
          </w:p>
        </w:tc>
      </w:tr>
    </w:tbl>
    <w:p>
      <w:pPr>
        <w:ind w:firstLine="0" w:firstLineChars="0"/>
        <w:rPr>
          <w:rFonts w:ascii="仿宋_GB2312"/>
          <w:b/>
          <w:sz w:val="28"/>
          <w:szCs w:val="28"/>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ind w:firstLine="31680"/>
              <w:rPr>
                <w:szCs w:val="24"/>
              </w:rPr>
            </w:pPr>
          </w:p>
        </w:tc>
      </w:tr>
    </w:tbl>
    <w:p>
      <w:pPr>
        <w:ind w:firstLine="0" w:firstLineChars="0"/>
        <w:rPr>
          <w:sz w:val="28"/>
          <w:szCs w:val="28"/>
        </w:rPr>
      </w:pPr>
    </w:p>
    <w:p>
      <w:pPr>
        <w:ind w:firstLine="0" w:firstLineChars="0"/>
        <w:rPr>
          <w:sz w:val="28"/>
          <w:szCs w:val="28"/>
        </w:rPr>
      </w:pPr>
    </w:p>
    <w:p>
      <w:pPr>
        <w:ind w:firstLine="0" w:firstLineChars="0"/>
        <w:jc w:val="center"/>
        <w:rPr>
          <w:rFonts w:ascii="黑体" w:eastAsia="黑体"/>
          <w:b/>
          <w:sz w:val="28"/>
          <w:szCs w:val="28"/>
        </w:rPr>
      </w:pPr>
      <w:r>
        <w:rPr>
          <w:rFonts w:hint="eastAsia" w:ascii="黑体" w:eastAsia="黑体"/>
          <w:b/>
          <w:sz w:val="28"/>
          <w:szCs w:val="28"/>
          <w:lang w:eastAsia="zh-CN"/>
        </w:rPr>
        <w:t>五、与时俱进 做好新时代网点服务</w:t>
      </w:r>
    </w:p>
    <w:p>
      <w:pPr>
        <w:ind w:firstLine="31680"/>
        <w:rPr>
          <w:rFonts w:ascii="仿宋_GB2312"/>
          <w:b/>
          <w:sz w:val="28"/>
          <w:szCs w:val="28"/>
        </w:rPr>
      </w:pPr>
      <w:r>
        <w:rPr>
          <w:rFonts w:hint="eastAsia" w:ascii="仿宋_GB2312"/>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19</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left="0" w:leftChars="0" w:firstLine="480" w:firstLineChars="200"/>
              <w:rPr>
                <w:szCs w:val="24"/>
              </w:rPr>
            </w:pPr>
            <w:r>
              <w:rPr>
                <w:rFonts w:hint="eastAsia"/>
                <w:szCs w:val="24"/>
                <w:lang w:eastAsia="zh-CN"/>
              </w:rPr>
              <w:t>会员单位无需编写</w:t>
            </w:r>
          </w:p>
        </w:tc>
      </w:tr>
    </w:tbl>
    <w:p>
      <w:pPr>
        <w:ind w:firstLine="31680"/>
        <w:rPr>
          <w:rFonts w:hint="eastAsia" w:ascii="仿宋_GB2312"/>
          <w:b/>
        </w:rPr>
      </w:pPr>
    </w:p>
    <w:p>
      <w:pPr>
        <w:ind w:firstLine="31680"/>
        <w:rPr>
          <w:rFonts w:hint="eastAsia" w:ascii="仿宋_GB2312"/>
          <w:b/>
          <w:sz w:val="28"/>
          <w:szCs w:val="28"/>
          <w:lang w:eastAsia="zh-CN"/>
        </w:rPr>
      </w:pPr>
      <w:r>
        <w:rPr>
          <w:rFonts w:hint="eastAsia" w:ascii="仿宋_GB2312"/>
          <w:b/>
        </w:rPr>
        <w:t>●</w:t>
      </w:r>
      <w:r>
        <w:rPr>
          <w:rFonts w:hint="eastAsia" w:ascii="仿宋_GB2312"/>
          <w:b/>
          <w:sz w:val="28"/>
          <w:szCs w:val="28"/>
        </w:rPr>
        <w:t>开展文明规范服务提升活动</w:t>
      </w:r>
    </w:p>
    <w:p>
      <w:pPr>
        <w:ind w:firstLine="31680"/>
        <w:rPr>
          <w:szCs w:val="24"/>
        </w:rPr>
      </w:pPr>
      <w:r>
        <w:rPr>
          <w:rFonts w:hint="eastAsia"/>
        </w:rPr>
        <w:t>（请参照指引指标</w:t>
      </w:r>
      <w:r>
        <w:rPr>
          <w:rFonts w:hint="eastAsia"/>
          <w:lang w:val="en-US" w:eastAsia="zh-CN"/>
        </w:rPr>
        <w:t>20</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spacing w:line="560" w:lineRule="exact"/>
              <w:ind w:firstLine="31680"/>
              <w:rPr>
                <w:rFonts w:cs="Times New Roman"/>
              </w:rPr>
            </w:pPr>
            <w:r>
              <w:rPr>
                <w:rFonts w:hint="eastAsia" w:cs="仿宋_GB2312"/>
              </w:rPr>
              <w:t>“提升</w:t>
            </w:r>
            <w:r>
              <w:rPr>
                <w:rFonts w:hint="eastAsia" w:cs="仿宋_GB2312"/>
                <w:lang w:val="en-US" w:eastAsia="zh-CN"/>
              </w:rPr>
              <w:t>巩固</w:t>
            </w:r>
            <w:r>
              <w:rPr>
                <w:rFonts w:hint="eastAsia" w:cs="仿宋_GB2312"/>
              </w:rPr>
              <w:t>信贷服务水平、优化营商环境”专项行动领导小组尽职履行各自职责，全面统筹调度了专项行动的开展。专项行动小组办公室，依据前期制定专项行动的相关要求，督促了各支行、各部室贯彻落实，专项行动小组履职情况良好。</w:t>
            </w:r>
          </w:p>
          <w:p>
            <w:pPr>
              <w:spacing w:line="560" w:lineRule="exact"/>
              <w:ind w:firstLine="31680"/>
              <w:rPr>
                <w:rFonts w:cs="Times New Roman"/>
              </w:rPr>
            </w:pPr>
            <w:r>
              <w:t>1.</w:t>
            </w:r>
            <w:r>
              <w:rPr>
                <w:rFonts w:hint="eastAsia" w:cs="仿宋_GB2312"/>
              </w:rPr>
              <w:t>进一步提高了办贷时效，优化改进了办贷流程，加强了业务创新，严格落实了我行成立以来坚持的办贷要求。当前所有贷款能够做到保证类</w:t>
            </w:r>
            <w:r>
              <w:t>3</w:t>
            </w:r>
            <w:r>
              <w:rPr>
                <w:rFonts w:hint="eastAsia" w:cs="仿宋_GB2312"/>
              </w:rPr>
              <w:t>天办结、抵押类</w:t>
            </w:r>
            <w:r>
              <w:t>5</w:t>
            </w:r>
            <w:r>
              <w:rPr>
                <w:rFonts w:hint="eastAsia" w:cs="仿宋_GB2312"/>
              </w:rPr>
              <w:t>天办结的基本要求。</w:t>
            </w:r>
            <w:r>
              <w:t>2.</w:t>
            </w:r>
            <w:r>
              <w:rPr>
                <w:rFonts w:hint="eastAsia" w:cs="仿宋_GB2312"/>
              </w:rPr>
              <w:t>进一步提升了申贷获得率，做到了“能贷尽贷”，在加强自身信贷业务营销的基础上，提高了上门客户的信贷获得率。</w:t>
            </w:r>
            <w:r>
              <w:t>3.</w:t>
            </w:r>
            <w:r>
              <w:rPr>
                <w:rFonts w:hint="eastAsia" w:cs="仿宋_GB2312"/>
              </w:rPr>
              <w:t>进一步加强了信贷服务水平，做到了“有问必答、答必详尽”，实行“首问负责制”，保证了信贷申请客户能够享受到我行优质、高效、贴心的信贷服务。</w:t>
            </w:r>
            <w:r>
              <w:t>4.</w:t>
            </w:r>
            <w:r>
              <w:rPr>
                <w:rFonts w:hint="eastAsia" w:cs="仿宋_GB2312"/>
              </w:rPr>
              <w:t>进一步贯彻落实了“阳光信贷”，杜绝了一切吃、拿、卡、要现象，实行信贷过程公开化、透明化管理，提高信贷业务透明度，让客户了解我行办理贷款的全过程。</w:t>
            </w:r>
            <w:r>
              <w:t>5.</w:t>
            </w:r>
            <w:r>
              <w:rPr>
                <w:rFonts w:hint="eastAsia"/>
                <w:lang w:val="en-US" w:eastAsia="zh-CN"/>
              </w:rPr>
              <w:t>2023</w:t>
            </w:r>
            <w:r>
              <w:rPr>
                <w:rFonts w:hint="eastAsia" w:cs="仿宋_GB2312"/>
              </w:rPr>
              <w:t>年以来，我行组织信贷培训</w:t>
            </w:r>
            <w:r>
              <w:t>1</w:t>
            </w:r>
            <w:r>
              <w:rPr>
                <w:rFonts w:hint="eastAsia"/>
                <w:lang w:val="en-US" w:eastAsia="zh-CN"/>
              </w:rPr>
              <w:t>2</w:t>
            </w:r>
            <w:r>
              <w:rPr>
                <w:rFonts w:hint="eastAsia" w:cs="仿宋_GB2312"/>
              </w:rPr>
              <w:t>次，各支行、部室负责人、全行客户经理基本能够做到全员参与，对监管文件、信贷制度、阳光信贷等进行全面培训学习，参加培训人员能够认真学习记录。计划在第</w:t>
            </w:r>
            <w:r>
              <w:rPr>
                <w:rFonts w:hint="eastAsia" w:cs="仿宋_GB2312"/>
                <w:lang w:val="en-US" w:eastAsia="zh-CN"/>
              </w:rPr>
              <w:t>四</w:t>
            </w:r>
            <w:r>
              <w:rPr>
                <w:rFonts w:hint="eastAsia" w:cs="仿宋_GB2312"/>
              </w:rPr>
              <w:t>季度进行信贷业务测试。</w:t>
            </w:r>
          </w:p>
          <w:p>
            <w:pPr>
              <w:numPr>
                <w:ilvl w:val="0"/>
                <w:numId w:val="0"/>
              </w:numPr>
              <w:ind w:leftChars="0"/>
              <w:rPr>
                <w:rFonts w:hint="eastAsia"/>
              </w:rPr>
            </w:pPr>
          </w:p>
          <w:p>
            <w:pPr>
              <w:numPr>
                <w:ilvl w:val="0"/>
                <w:numId w:val="0"/>
              </w:numPr>
              <w:ind w:leftChars="0"/>
              <w:rPr>
                <w:rFonts w:hint="eastAsia"/>
              </w:rPr>
            </w:pPr>
          </w:p>
          <w:p>
            <w:pPr>
              <w:pStyle w:val="12"/>
              <w:numPr>
                <w:ilvl w:val="0"/>
                <w:numId w:val="0"/>
              </w:numPr>
              <w:ind w:leftChars="0"/>
              <w:rPr>
                <w:rFonts w:hint="default" w:eastAsia="仿宋_GB2312"/>
                <w:lang w:val="en-US" w:eastAsia="zh-CN"/>
              </w:rPr>
            </w:pPr>
          </w:p>
        </w:tc>
      </w:tr>
    </w:tbl>
    <w:p>
      <w:pPr>
        <w:ind w:firstLine="0" w:firstLineChars="0"/>
        <w:rPr>
          <w:rFonts w:ascii="仿宋_GB2312"/>
          <w:b/>
          <w:sz w:val="28"/>
          <w:szCs w:val="28"/>
        </w:rPr>
      </w:pPr>
    </w:p>
    <w:p>
      <w:pPr>
        <w:ind w:firstLine="31680"/>
        <w:rPr>
          <w:rFonts w:hint="eastAsia" w:ascii="仿宋_GB2312"/>
          <w:b/>
          <w:sz w:val="28"/>
          <w:szCs w:val="28"/>
          <w:lang w:eastAsia="zh-CN"/>
        </w:rPr>
      </w:pPr>
      <w:r>
        <w:rPr>
          <w:rFonts w:hint="eastAsia" w:ascii="仿宋_GB2312"/>
          <w:b/>
        </w:rPr>
        <w:t>●</w:t>
      </w:r>
      <w:r>
        <w:rPr>
          <w:rFonts w:hint="eastAsia" w:ascii="仿宋_GB2312"/>
          <w:b/>
          <w:sz w:val="28"/>
          <w:szCs w:val="28"/>
        </w:rPr>
        <w:t>培育创新企业文化</w:t>
      </w:r>
    </w:p>
    <w:p>
      <w:pPr>
        <w:ind w:firstLine="31680"/>
        <w:rPr>
          <w:szCs w:val="24"/>
        </w:rPr>
      </w:pPr>
      <w:r>
        <w:rPr>
          <w:rFonts w:hint="eastAsia"/>
        </w:rPr>
        <w:t>（请参照指引指标</w:t>
      </w:r>
      <w:r>
        <w:rPr>
          <w:rFonts w:hint="eastAsia"/>
          <w:lang w:val="en-US" w:eastAsia="zh-CN"/>
        </w:rPr>
        <w:t>21</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pPr>
            <w:r>
              <w:rPr>
                <w:rFonts w:hint="eastAsia" w:eastAsia="仿宋_GB2312" w:cs="仿宋_GB2312"/>
                <w:kern w:val="2"/>
                <w:highlight w:val="none"/>
              </w:rPr>
              <w:t>我行</w:t>
            </w:r>
            <w:r>
              <w:rPr>
                <w:rFonts w:hint="eastAsia" w:cs="仿宋_GB2312"/>
                <w:kern w:val="2"/>
                <w:highlight w:val="none"/>
                <w:lang w:val="en-US" w:eastAsia="zh-CN"/>
              </w:rPr>
              <w:t>积极组织各类</w:t>
            </w:r>
            <w:r>
              <w:rPr>
                <w:rFonts w:hint="eastAsia" w:eastAsia="仿宋_GB2312" w:cs="仿宋_GB2312"/>
                <w:kern w:val="2"/>
                <w:highlight w:val="none"/>
              </w:rPr>
              <w:t>培训，积极参加行业协会及监管部门组织的各种活动，借助我行各业务部门和支行的走进社区、市场业务拓展活动，采取包括横幅、大屏幕、宣传折页手册方面等多种形式，有机将消费者金融知识普及与业务相结合，先后开展了人民币反假、反诈骗、等金融知识的宣传普及，引导客户理性选择银行服务，强化风险意识。</w:t>
            </w:r>
          </w:p>
          <w:p>
            <w:pPr>
              <w:pStyle w:val="12"/>
            </w:pPr>
          </w:p>
        </w:tc>
      </w:tr>
    </w:tbl>
    <w:p>
      <w:pPr>
        <w:ind w:firstLine="31680"/>
        <w:rPr>
          <w:rFonts w:hint="eastAsia" w:ascii="仿宋_GB2312"/>
          <w:b/>
          <w:sz w:val="28"/>
          <w:szCs w:val="28"/>
        </w:rPr>
      </w:pPr>
    </w:p>
    <w:p>
      <w:pPr>
        <w:ind w:firstLine="31680"/>
        <w:rPr>
          <w:rFonts w:hint="eastAsia" w:ascii="仿宋_GB2312"/>
          <w:b/>
          <w:sz w:val="28"/>
          <w:szCs w:val="28"/>
          <w:lang w:eastAsia="zh-CN"/>
        </w:rPr>
      </w:pPr>
      <w:r>
        <w:rPr>
          <w:rFonts w:hint="eastAsia" w:ascii="仿宋_GB2312"/>
          <w:b/>
          <w:sz w:val="28"/>
          <w:szCs w:val="28"/>
        </w:rPr>
        <w:t>●强化金融科技赋能</w:t>
      </w:r>
    </w:p>
    <w:p>
      <w:pPr>
        <w:ind w:firstLine="31680"/>
        <w:rPr>
          <w:szCs w:val="24"/>
        </w:rPr>
      </w:pPr>
      <w:r>
        <w:rPr>
          <w:rFonts w:hint="eastAsia"/>
        </w:rPr>
        <w:t>（请参照指引指标</w:t>
      </w:r>
      <w:r>
        <w:rPr>
          <w:rFonts w:hint="eastAsia"/>
          <w:lang w:val="en-US" w:eastAsia="zh-CN"/>
        </w:rPr>
        <w:t>22</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pStyle w:val="3"/>
            </w:pP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普及金融知识</w:t>
      </w:r>
    </w:p>
    <w:p>
      <w:pPr>
        <w:ind w:firstLine="31680"/>
        <w:rPr>
          <w:szCs w:val="24"/>
        </w:rPr>
      </w:pPr>
      <w:r>
        <w:rPr>
          <w:rFonts w:hint="eastAsia"/>
        </w:rPr>
        <w:t>（请参照指引指标</w:t>
      </w:r>
      <w:r>
        <w:rPr>
          <w:rFonts w:hint="eastAsia"/>
          <w:lang w:val="en-US" w:eastAsia="zh-CN"/>
        </w:rPr>
        <w:t>23</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ind w:firstLine="31680"/>
              <w:rPr>
                <w:szCs w:val="24"/>
                <w:highlight w:val="none"/>
              </w:rPr>
            </w:pPr>
            <w:r>
              <w:rPr>
                <w:rFonts w:ascii="仿宋_GB2312" w:hAnsi="仿宋" w:eastAsia="仿宋_GB2312" w:cs="仿宋_GB2312"/>
                <w:highlight w:val="none"/>
              </w:rPr>
              <w:t>202</w:t>
            </w:r>
            <w:r>
              <w:rPr>
                <w:rFonts w:hint="eastAsia" w:ascii="仿宋_GB2312" w:hAnsi="仿宋" w:cs="仿宋_GB2312"/>
                <w:highlight w:val="none"/>
                <w:lang w:val="en-US" w:eastAsia="zh-CN"/>
              </w:rPr>
              <w:t>3</w:t>
            </w:r>
            <w:r>
              <w:rPr>
                <w:rFonts w:hint="eastAsia" w:ascii="仿宋_GB2312" w:hAnsi="仿宋" w:eastAsia="仿宋_GB2312" w:cs="仿宋_GB2312"/>
                <w:highlight w:val="none"/>
              </w:rPr>
              <w:t>年，</w:t>
            </w:r>
            <w:r>
              <w:rPr>
                <w:rFonts w:hint="eastAsia" w:ascii="仿宋_GB2312" w:hAnsi="仿宋" w:eastAsia="仿宋_GB2312" w:cs="仿宋_GB2312"/>
                <w:highlight w:val="none"/>
                <w:lang w:val="en-US" w:eastAsia="zh-CN"/>
              </w:rPr>
              <w:t>沂源博商村镇银行</w:t>
            </w:r>
            <w:r>
              <w:rPr>
                <w:rFonts w:hint="eastAsia" w:ascii="仿宋_GB2312" w:hAnsi="仿宋" w:eastAsia="仿宋_GB2312" w:cs="仿宋_GB2312"/>
                <w:highlight w:val="none"/>
              </w:rPr>
              <w:t>共组织各类金融知识宣传</w:t>
            </w:r>
            <w:r>
              <w:rPr>
                <w:rFonts w:hint="eastAsia" w:ascii="仿宋_GB2312" w:hAnsi="仿宋" w:cs="仿宋_GB2312"/>
                <w:highlight w:val="none"/>
                <w:lang w:val="en-US" w:eastAsia="zh-CN"/>
              </w:rPr>
              <w:t>150余</w:t>
            </w:r>
            <w:r>
              <w:rPr>
                <w:rFonts w:hint="eastAsia" w:ascii="仿宋_GB2312" w:hAnsi="仿宋" w:eastAsia="仿宋_GB2312" w:cs="仿宋_GB2312"/>
                <w:highlight w:val="none"/>
              </w:rPr>
              <w:t>场，全行</w:t>
            </w:r>
            <w:r>
              <w:rPr>
                <w:rFonts w:ascii="仿宋_GB2312" w:hAnsi="仿宋" w:eastAsia="仿宋_GB2312" w:cs="仿宋_GB2312"/>
                <w:highlight w:val="none"/>
              </w:rPr>
              <w:t>20</w:t>
            </w:r>
            <w:r>
              <w:rPr>
                <w:rFonts w:hint="eastAsia" w:ascii="仿宋_GB2312" w:hAnsi="仿宋" w:eastAsia="仿宋_GB2312" w:cs="仿宋_GB2312"/>
                <w:highlight w:val="none"/>
              </w:rPr>
              <w:t>家营业网点、</w:t>
            </w:r>
            <w:r>
              <w:rPr>
                <w:rFonts w:hint="eastAsia" w:ascii="仿宋_GB2312" w:hAnsi="仿宋" w:eastAsia="仿宋_GB2312" w:cs="仿宋_GB2312"/>
                <w:highlight w:val="none"/>
                <w:lang w:val="en-US" w:eastAsia="zh-CN"/>
              </w:rPr>
              <w:t>21</w:t>
            </w:r>
            <w:r>
              <w:rPr>
                <w:rFonts w:hint="eastAsia" w:ascii="仿宋_GB2312" w:hAnsi="仿宋" w:cs="仿宋_GB2312"/>
                <w:highlight w:val="none"/>
                <w:lang w:val="en-US" w:eastAsia="zh-CN"/>
              </w:rPr>
              <w:t>2</w:t>
            </w:r>
            <w:r>
              <w:rPr>
                <w:rFonts w:hint="eastAsia" w:ascii="仿宋_GB2312" w:hAnsi="仿宋" w:eastAsia="仿宋_GB2312" w:cs="仿宋_GB2312"/>
                <w:highlight w:val="none"/>
              </w:rPr>
              <w:t>名员工全部参与其中，</w:t>
            </w:r>
            <w:r>
              <w:rPr>
                <w:rFonts w:hint="eastAsia" w:ascii="仿宋_GB2312" w:hAnsi="仿宋" w:eastAsia="仿宋_GB2312" w:cs="仿宋_GB2312"/>
                <w:highlight w:val="none"/>
                <w:lang w:val="en-US" w:eastAsia="zh-CN"/>
              </w:rPr>
              <w:t>制作宣传片2部</w:t>
            </w:r>
            <w:r>
              <w:rPr>
                <w:rFonts w:hint="eastAsia" w:ascii="仿宋_GB2312" w:hAnsi="仿宋" w:eastAsia="仿宋_GB2312" w:cs="仿宋_GB2312"/>
                <w:highlight w:val="none"/>
              </w:rPr>
              <w:t>，发放宣传材料</w:t>
            </w:r>
            <w:r>
              <w:rPr>
                <w:rFonts w:hint="eastAsia" w:ascii="仿宋_GB2312" w:hAnsi="仿宋" w:eastAsia="仿宋_GB2312" w:cs="仿宋_GB2312"/>
                <w:highlight w:val="none"/>
                <w:lang w:val="en-US" w:eastAsia="zh-CN"/>
              </w:rPr>
              <w:t>10</w:t>
            </w:r>
            <w:r>
              <w:rPr>
                <w:rFonts w:hint="eastAsia" w:ascii="仿宋_GB2312" w:hAnsi="仿宋" w:eastAsia="仿宋_GB2312" w:cs="仿宋_GB2312"/>
                <w:highlight w:val="none"/>
              </w:rPr>
              <w:t>万</w:t>
            </w:r>
            <w:r>
              <w:rPr>
                <w:rFonts w:hint="eastAsia" w:ascii="仿宋_GB2312" w:hAnsi="仿宋" w:eastAsia="仿宋_GB2312" w:cs="仿宋_GB2312"/>
                <w:highlight w:val="none"/>
                <w:lang w:val="en-US" w:eastAsia="zh-CN"/>
              </w:rPr>
              <w:t>余</w:t>
            </w:r>
            <w:r>
              <w:rPr>
                <w:rFonts w:hint="eastAsia" w:ascii="仿宋_GB2312" w:hAnsi="仿宋" w:eastAsia="仿宋_GB2312" w:cs="仿宋_GB2312"/>
                <w:highlight w:val="none"/>
              </w:rPr>
              <w:t>份，受众客户超过</w:t>
            </w:r>
            <w:r>
              <w:rPr>
                <w:rFonts w:hint="eastAsia" w:ascii="仿宋_GB2312" w:hAnsi="仿宋" w:eastAsia="仿宋_GB2312" w:cs="仿宋_GB2312"/>
                <w:highlight w:val="none"/>
                <w:lang w:val="en-US" w:eastAsia="zh-CN"/>
              </w:rPr>
              <w:t>1</w:t>
            </w:r>
            <w:r>
              <w:rPr>
                <w:rFonts w:hint="eastAsia" w:ascii="仿宋_GB2312" w:hAnsi="仿宋" w:cs="仿宋_GB2312"/>
                <w:highlight w:val="none"/>
                <w:lang w:val="en-US" w:eastAsia="zh-CN"/>
              </w:rPr>
              <w:t>2</w:t>
            </w:r>
            <w:r>
              <w:rPr>
                <w:rFonts w:hint="eastAsia" w:ascii="仿宋_GB2312" w:hAnsi="仿宋" w:eastAsia="仿宋_GB2312" w:cs="仿宋_GB2312"/>
                <w:highlight w:val="none"/>
              </w:rPr>
              <w:t>万人次。</w:t>
            </w:r>
          </w:p>
          <w:p>
            <w:pPr>
              <w:pStyle w:val="3"/>
            </w:pP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提升金融消保工作</w:t>
      </w:r>
    </w:p>
    <w:p>
      <w:pPr>
        <w:ind w:firstLine="31680"/>
        <w:rPr>
          <w:szCs w:val="24"/>
        </w:rPr>
      </w:pPr>
      <w:r>
        <w:rPr>
          <w:rFonts w:hint="eastAsia"/>
        </w:rPr>
        <w:t>（请参照指引指标</w:t>
      </w:r>
      <w:r>
        <w:rPr>
          <w:rFonts w:hint="eastAsia"/>
          <w:lang w:val="en-US" w:eastAsia="zh-CN"/>
        </w:rPr>
        <w:t>24</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spacing w:line="560" w:lineRule="exact"/>
              <w:ind w:firstLine="31680"/>
              <w:rPr>
                <w:rFonts w:cs="Times New Roman"/>
                <w:highlight w:val="yellow"/>
              </w:rPr>
            </w:pPr>
            <w:r>
              <w:rPr>
                <w:rFonts w:hint="eastAsia" w:cs="仿宋_GB2312"/>
                <w:highlight w:val="yellow"/>
                <w:lang w:val="en-US" w:eastAsia="zh-CN"/>
              </w:rPr>
              <w:t>一</w:t>
            </w:r>
            <w:r>
              <w:rPr>
                <w:rFonts w:hint="eastAsia" w:cs="仿宋_GB2312"/>
                <w:highlight w:val="yellow"/>
              </w:rPr>
              <w:t>、总体情况</w:t>
            </w:r>
          </w:p>
          <w:p>
            <w:pPr>
              <w:spacing w:line="560" w:lineRule="exact"/>
              <w:ind w:firstLine="31680"/>
              <w:rPr>
                <w:rFonts w:cs="Times New Roman"/>
                <w:highlight w:val="yellow"/>
              </w:rPr>
            </w:pPr>
            <w:r>
              <w:rPr>
                <w:rFonts w:hint="eastAsia" w:cs="仿宋_GB2312"/>
                <w:highlight w:val="yellow"/>
                <w:lang w:eastAsia="zh-CN"/>
              </w:rPr>
              <w:t>（</w:t>
            </w:r>
            <w:r>
              <w:rPr>
                <w:rFonts w:hint="eastAsia" w:cs="仿宋_GB2312"/>
                <w:highlight w:val="yellow"/>
              </w:rPr>
              <w:t>一）本机构消费者权益保护工作开展总体情况</w:t>
            </w:r>
          </w:p>
          <w:p>
            <w:pPr>
              <w:pStyle w:val="8"/>
              <w:widowControl/>
              <w:spacing w:line="560" w:lineRule="exact"/>
              <w:ind w:firstLine="640"/>
              <w:rPr>
                <w:rFonts w:eastAsia="仿宋_GB2312" w:cs="Times New Roman"/>
                <w:kern w:val="2"/>
                <w:highlight w:val="yellow"/>
              </w:rPr>
            </w:pPr>
            <w:r>
              <w:rPr>
                <w:rFonts w:hint="eastAsia" w:eastAsia="仿宋_GB2312" w:cs="仿宋_GB2312"/>
                <w:kern w:val="2"/>
                <w:highlight w:val="yellow"/>
              </w:rPr>
              <w:t>我行在各级银监机构的监管指导下加强金融消费者权益保护工作，畅通渠道，主动接受社会监督，加强外部沟通协调，营造消费者保护的良好氛围，自成立以来逐步建立健全金融消费者权益保护工作机制，梳理了金融消费者投诉处理工作流程。同时，我行在各个营业大厅醒目位置公示投诉电话、摆放客户意见簿，并通过微信公众服务平台等各种方式，畅通来电、来访等投诉渠道，对客户投诉的处理流程进行了明确规定，要求在规定时间内将客户投诉有效解。</w:t>
            </w:r>
          </w:p>
          <w:p>
            <w:pPr>
              <w:spacing w:line="560" w:lineRule="exact"/>
              <w:ind w:firstLine="31680"/>
              <w:rPr>
                <w:highlight w:val="yellow"/>
              </w:rPr>
            </w:pPr>
            <w:r>
              <w:rPr>
                <w:rFonts w:hint="eastAsia" w:cs="仿宋_GB2312"/>
                <w:highlight w:val="yellow"/>
                <w:lang w:val="en-US" w:eastAsia="zh-CN"/>
              </w:rPr>
              <w:t>二</w:t>
            </w:r>
            <w:r>
              <w:rPr>
                <w:rFonts w:hint="eastAsia" w:cs="仿宋_GB2312"/>
                <w:highlight w:val="yellow"/>
              </w:rPr>
              <w:t>、消费者权益保护工作具体措施</w:t>
            </w:r>
            <w:r>
              <w:rPr>
                <w:highlight w:val="yellow"/>
              </w:rPr>
              <w:t xml:space="preserve"> </w:t>
            </w:r>
          </w:p>
          <w:p>
            <w:pPr>
              <w:spacing w:line="560" w:lineRule="exact"/>
              <w:ind w:firstLine="31680"/>
              <w:rPr>
                <w:rFonts w:cs="Times New Roman"/>
                <w:highlight w:val="yellow"/>
              </w:rPr>
            </w:pPr>
            <w:r>
              <w:rPr>
                <w:highlight w:val="yellow"/>
              </w:rPr>
              <w:t xml:space="preserve">  </w:t>
            </w:r>
            <w:r>
              <w:rPr>
                <w:rFonts w:hint="eastAsia" w:cs="仿宋_GB2312"/>
                <w:highlight w:val="yellow"/>
              </w:rPr>
              <w:t>（一）消费者权益保护规章制度建设</w:t>
            </w:r>
          </w:p>
          <w:p>
            <w:pPr>
              <w:pStyle w:val="8"/>
              <w:widowControl/>
              <w:spacing w:line="560" w:lineRule="exact"/>
              <w:ind w:firstLine="640"/>
              <w:rPr>
                <w:rFonts w:eastAsia="仿宋_GB2312" w:cs="Times New Roman"/>
                <w:kern w:val="2"/>
                <w:highlight w:val="yellow"/>
              </w:rPr>
            </w:pPr>
            <w:r>
              <w:rPr>
                <w:rFonts w:hint="eastAsia" w:eastAsia="仿宋_GB2312" w:cs="仿宋_GB2312"/>
                <w:kern w:val="2"/>
                <w:highlight w:val="yellow"/>
              </w:rPr>
              <w:t>我行严格按照相关办法的规定，将</w:t>
            </w:r>
            <w:r>
              <w:rPr>
                <w:rFonts w:hint="eastAsia" w:eastAsia="仿宋_GB2312" w:cs="仿宋_GB2312"/>
                <w:kern w:val="2"/>
                <w:highlight w:val="yellow"/>
                <w:lang w:val="en-US" w:eastAsia="zh-CN"/>
              </w:rPr>
              <w:t>审计部、</w:t>
            </w:r>
            <w:r>
              <w:rPr>
                <w:rFonts w:hint="eastAsia" w:eastAsia="仿宋_GB2312" w:cs="仿宋_GB2312"/>
                <w:kern w:val="2"/>
                <w:highlight w:val="yellow"/>
              </w:rPr>
              <w:t>综合管理部作为全行客户投诉处理工作的跟踪、监督和考评部门，行长及各部门负责人是客户投诉处理工作的第一责任人。对客户投诉处理工作采取“第一时间、及时反馈”的指导模式。在制度中进一步完善《沂源博商村镇银行消费者权益保护工作制度》的相关内容、流程、渠道、保障方式。</w:t>
            </w:r>
          </w:p>
          <w:p>
            <w:pPr>
              <w:spacing w:line="560" w:lineRule="exact"/>
              <w:ind w:firstLine="31680"/>
              <w:rPr>
                <w:rFonts w:cs="Times New Roman"/>
                <w:highlight w:val="yellow"/>
              </w:rPr>
            </w:pPr>
            <w:r>
              <w:rPr>
                <w:rFonts w:hint="eastAsia" w:cs="仿宋_GB2312"/>
                <w:highlight w:val="yellow"/>
                <w:lang w:eastAsia="zh-CN"/>
              </w:rPr>
              <w:t>（</w:t>
            </w:r>
            <w:r>
              <w:rPr>
                <w:rFonts w:hint="eastAsia" w:cs="仿宋_GB2312"/>
                <w:highlight w:val="yellow"/>
              </w:rPr>
              <w:t>二）消费者权益保护体制机制安排</w:t>
            </w:r>
          </w:p>
          <w:p>
            <w:pPr>
              <w:spacing w:line="560" w:lineRule="exact"/>
              <w:jc w:val="left"/>
              <w:rPr>
                <w:rFonts w:hint="eastAsia" w:eastAsia="仿宋_GB2312" w:cs="仿宋_GB2312" w:asciiTheme="minorHAnsi" w:hAnsiTheme="minorHAnsi"/>
                <w:kern w:val="2"/>
                <w:sz w:val="24"/>
                <w:szCs w:val="24"/>
                <w:highlight w:val="yellow"/>
                <w:lang w:val="en-US" w:eastAsia="zh-CN" w:bidi="ar-SA"/>
              </w:rPr>
            </w:pPr>
            <w:r>
              <w:rPr>
                <w:rFonts w:hint="eastAsia" w:eastAsia="仿宋_GB2312" w:cs="仿宋_GB2312" w:asciiTheme="minorHAnsi" w:hAnsiTheme="minorHAnsi"/>
                <w:kern w:val="2"/>
                <w:sz w:val="24"/>
                <w:szCs w:val="24"/>
                <w:highlight w:val="yellow"/>
                <w:lang w:val="en-US" w:eastAsia="zh-CN" w:bidi="ar-SA"/>
              </w:rPr>
              <w:t>有我行消费者权益保护工作，做好知识培训，全面提高金融消费者知识，培育银行业消费者维权的意识和能力，积极、科学地主张银行业消费者合法权益。对客户提出的咨询、投诉等问题，及时回复、解决，需要各部门协调解决，</w:t>
            </w:r>
            <w:r>
              <w:rPr>
                <w:rFonts w:hint="eastAsia" w:cs="仿宋_GB2312" w:asciiTheme="minorHAnsi" w:hAnsiTheme="minorHAnsi"/>
                <w:kern w:val="2"/>
                <w:sz w:val="24"/>
                <w:szCs w:val="24"/>
                <w:highlight w:val="yellow"/>
                <w:lang w:val="en-US" w:eastAsia="zh-CN" w:bidi="ar-SA"/>
              </w:rPr>
              <w:t>并</w:t>
            </w:r>
            <w:r>
              <w:rPr>
                <w:rFonts w:hint="eastAsia" w:eastAsia="仿宋_GB2312" w:cs="仿宋_GB2312" w:asciiTheme="minorHAnsi" w:hAnsiTheme="minorHAnsi"/>
                <w:kern w:val="2"/>
                <w:sz w:val="24"/>
                <w:szCs w:val="24"/>
                <w:highlight w:val="yellow"/>
                <w:lang w:val="en-US" w:eastAsia="zh-CN" w:bidi="ar-SA"/>
              </w:rPr>
              <w:t>报分管行长。</w:t>
            </w:r>
          </w:p>
          <w:p>
            <w:pPr>
              <w:spacing w:line="560" w:lineRule="exact"/>
              <w:ind w:firstLine="31680"/>
              <w:rPr>
                <w:rFonts w:cs="Times New Roman"/>
                <w:highlight w:val="yellow"/>
              </w:rPr>
            </w:pPr>
            <w:r>
              <w:rPr>
                <w:rFonts w:hint="eastAsia" w:cs="仿宋_GB2312"/>
                <w:highlight w:val="yellow"/>
                <w:lang w:eastAsia="zh-CN"/>
              </w:rPr>
              <w:t>（</w:t>
            </w:r>
            <w:r>
              <w:rPr>
                <w:rFonts w:hint="eastAsia" w:cs="仿宋_GB2312"/>
                <w:highlight w:val="yellow"/>
              </w:rPr>
              <w:t>三）消费者权益保护工作开展情况</w:t>
            </w:r>
          </w:p>
          <w:p>
            <w:pPr>
              <w:spacing w:line="560" w:lineRule="exact"/>
              <w:ind w:firstLine="31680"/>
              <w:rPr>
                <w:rFonts w:cs="Times New Roman"/>
                <w:highlight w:val="yellow"/>
              </w:rPr>
            </w:pPr>
            <w:r>
              <w:rPr>
                <w:rFonts w:hint="eastAsia"/>
                <w:highlight w:val="yellow"/>
                <w:lang w:val="en-US" w:eastAsia="zh-CN"/>
              </w:rPr>
              <w:t>1</w:t>
            </w:r>
            <w:r>
              <w:rPr>
                <w:highlight w:val="yellow"/>
              </w:rPr>
              <w:t>.</w:t>
            </w:r>
            <w:r>
              <w:rPr>
                <w:rFonts w:hint="eastAsia" w:cs="仿宋_GB2312"/>
                <w:highlight w:val="yellow"/>
              </w:rPr>
              <w:t>产品与服务管理情况</w:t>
            </w:r>
          </w:p>
          <w:p>
            <w:pPr>
              <w:pStyle w:val="8"/>
              <w:widowControl/>
              <w:spacing w:line="560" w:lineRule="exact"/>
              <w:ind w:firstLine="434" w:firstLineChars="181"/>
              <w:rPr>
                <w:rFonts w:eastAsia="仿宋_GB2312" w:cs="Times New Roman"/>
                <w:kern w:val="2"/>
                <w:highlight w:val="yellow"/>
              </w:rPr>
            </w:pPr>
            <w:r>
              <w:rPr>
                <w:rFonts w:hint="eastAsia" w:eastAsia="仿宋_GB2312" w:cs="仿宋_GB2312"/>
                <w:kern w:val="2"/>
                <w:highlight w:val="yellow"/>
              </w:rPr>
              <w:t>在金融消费者接受我行金融服务时，我行能够保障消费者的知情权，遵守诚信原则。在我行网站对我行的金融业务收费进行公布，由于我行属于新型农村金融机构，业务简单，产品单一，自查中未发现交叉销售、搭售、违反公平交易原则销售金融产品的情况，也未收到客户有关此类销售事件的反馈。在为客户办理业务时，我行也未收集与业务无关的客户信息。同时，我行在劳动合同中增加了员工保密协议，进行员工职业道德教育，摸排员工</w:t>
            </w:r>
            <w:r>
              <w:rPr>
                <w:rFonts w:eastAsia="仿宋_GB2312"/>
                <w:kern w:val="2"/>
                <w:highlight w:val="yellow"/>
              </w:rPr>
              <w:t>8</w:t>
            </w:r>
            <w:r>
              <w:rPr>
                <w:rFonts w:hint="eastAsia" w:eastAsia="仿宋_GB2312" w:cs="仿宋_GB2312"/>
                <w:kern w:val="2"/>
                <w:highlight w:val="yellow"/>
              </w:rPr>
              <w:t>小时之外情况，对我行客户的个人隐私和消费信息充分保密，对金融消费者接受的金融服务进行如实告知，让金融消费者自主选择金融服务。</w:t>
            </w:r>
            <w:r>
              <w:rPr>
                <w:rFonts w:eastAsia="仿宋_GB2312"/>
                <w:kern w:val="2"/>
                <w:highlight w:val="yellow"/>
              </w:rPr>
              <w:t>20</w:t>
            </w:r>
            <w:r>
              <w:rPr>
                <w:rFonts w:hint="eastAsia" w:eastAsia="仿宋_GB2312"/>
                <w:kern w:val="2"/>
                <w:highlight w:val="yellow"/>
                <w:lang w:val="en-US" w:eastAsia="zh-CN"/>
              </w:rPr>
              <w:t>2</w:t>
            </w:r>
            <w:r>
              <w:rPr>
                <w:rFonts w:hint="eastAsia"/>
                <w:kern w:val="2"/>
                <w:highlight w:val="yellow"/>
                <w:lang w:val="en-US" w:eastAsia="zh-CN"/>
              </w:rPr>
              <w:t>3</w:t>
            </w:r>
            <w:r>
              <w:rPr>
                <w:rFonts w:hint="eastAsia" w:eastAsia="仿宋_GB2312" w:cs="仿宋_GB2312"/>
                <w:kern w:val="2"/>
                <w:highlight w:val="yellow"/>
              </w:rPr>
              <w:t>年，客户在我行营业网点未发生涉及客户人身、财产安全的事故。</w:t>
            </w:r>
          </w:p>
          <w:p>
            <w:pPr>
              <w:spacing w:line="560" w:lineRule="exact"/>
              <w:ind w:firstLine="31680"/>
              <w:rPr>
                <w:rFonts w:cs="Times New Roman"/>
                <w:highlight w:val="yellow"/>
              </w:rPr>
            </w:pPr>
            <w:r>
              <w:rPr>
                <w:rFonts w:hint="eastAsia"/>
                <w:highlight w:val="yellow"/>
                <w:lang w:val="en-US" w:eastAsia="zh-CN"/>
              </w:rPr>
              <w:t>2</w:t>
            </w:r>
            <w:r>
              <w:rPr>
                <w:highlight w:val="yellow"/>
              </w:rPr>
              <w:t>.</w:t>
            </w:r>
            <w:r>
              <w:rPr>
                <w:rFonts w:hint="eastAsia" w:cs="仿宋_GB2312"/>
                <w:highlight w:val="yellow"/>
              </w:rPr>
              <w:t>金融知识宣传与教育工作情况</w:t>
            </w:r>
          </w:p>
          <w:p>
            <w:pPr>
              <w:pStyle w:val="8"/>
              <w:widowControl/>
              <w:spacing w:line="560" w:lineRule="exact"/>
              <w:ind w:firstLine="480" w:firstLineChars="200"/>
              <w:rPr>
                <w:rFonts w:eastAsia="仿宋_GB2312" w:cs="Times New Roman"/>
                <w:kern w:val="2"/>
                <w:highlight w:val="yellow"/>
              </w:rPr>
            </w:pPr>
            <w:r>
              <w:rPr>
                <w:rFonts w:hint="eastAsia" w:eastAsia="仿宋_GB2312" w:cs="仿宋_GB2312"/>
                <w:kern w:val="2"/>
                <w:highlight w:val="yellow"/>
              </w:rPr>
              <w:t>在业务宣传方面，我行对金融消费者权益进行了培训，积极参加行业协会及监管部门组织的各种活动，借助我行各业务部门和支行的走进社区、市场业务拓展活动，采取包括横幅、大屏幕、宣传折页手册方面等多种形式，有机将消费者金融知识普及与业务相结合，先后开展了人民币反假、反诈骗、等金融知识的宣传普及，引导客户理性选择银行服务，强化风险意识。</w:t>
            </w:r>
          </w:p>
          <w:p>
            <w:pPr>
              <w:spacing w:line="560" w:lineRule="exact"/>
              <w:ind w:firstLine="31680"/>
              <w:rPr>
                <w:rFonts w:cs="Times New Roman"/>
                <w:highlight w:val="yellow"/>
              </w:rPr>
            </w:pPr>
            <w:r>
              <w:rPr>
                <w:rFonts w:hint="eastAsia"/>
                <w:highlight w:val="yellow"/>
                <w:lang w:val="en-US" w:eastAsia="zh-CN"/>
              </w:rPr>
              <w:t>3</w:t>
            </w:r>
            <w:r>
              <w:rPr>
                <w:highlight w:val="yellow"/>
              </w:rPr>
              <w:t>.</w:t>
            </w:r>
            <w:r>
              <w:rPr>
                <w:rFonts w:hint="eastAsia" w:cs="仿宋_GB2312"/>
                <w:highlight w:val="yellow"/>
              </w:rPr>
              <w:t>投诉应对、处理情况</w:t>
            </w:r>
          </w:p>
          <w:p>
            <w:pPr>
              <w:ind w:firstLine="31680"/>
              <w:rPr>
                <w:szCs w:val="24"/>
                <w:highlight w:val="yellow"/>
              </w:rPr>
            </w:pPr>
            <w:r>
              <w:rPr>
                <w:rFonts w:hint="eastAsia" w:eastAsia="仿宋_GB2312" w:cs="仿宋_GB2312" w:asciiTheme="minorHAnsi" w:hAnsiTheme="minorHAnsi"/>
                <w:kern w:val="2"/>
                <w:sz w:val="24"/>
                <w:szCs w:val="24"/>
                <w:highlight w:val="yellow"/>
                <w:lang w:val="en-US" w:eastAsia="zh-CN" w:bidi="ar-SA"/>
              </w:rPr>
              <w:t>我行在</w:t>
            </w:r>
            <w:r>
              <w:rPr>
                <w:rFonts w:hint="eastAsia" w:eastAsia="仿宋_GB2312" w:cs="仿宋_GB2312"/>
                <w:kern w:val="2"/>
                <w:sz w:val="24"/>
                <w:szCs w:val="24"/>
                <w:highlight w:val="yellow"/>
                <w:lang w:val="en-US" w:eastAsia="zh-CN" w:bidi="ar-SA"/>
              </w:rPr>
              <w:t>各</w:t>
            </w:r>
            <w:r>
              <w:rPr>
                <w:rFonts w:hint="eastAsia" w:eastAsia="仿宋_GB2312" w:cs="仿宋_GB2312" w:asciiTheme="minorHAnsi" w:hAnsiTheme="minorHAnsi"/>
                <w:kern w:val="2"/>
                <w:sz w:val="24"/>
                <w:szCs w:val="24"/>
                <w:highlight w:val="yellow"/>
                <w:lang w:val="en-US" w:eastAsia="zh-CN" w:bidi="ar-SA"/>
              </w:rPr>
              <w:t>营业网点醒目位置公布本行受理金融消费者投诉的投诉电话，并建立了金融消费者投诉处理工作台帐，时刻跟踪处理结果并接受金融消费者的监督。对于金融消费者提出的意见建议进行汇总整理，对于提出建议比较多的问题进行整改优化。由于我行高度重视消费者权益保护</w:t>
            </w:r>
            <w:r>
              <w:rPr>
                <w:rFonts w:hint="eastAsia" w:eastAsia="仿宋_GB2312" w:cs="仿宋_GB2312" w:asciiTheme="minorHAnsi" w:hAnsiTheme="minorHAnsi"/>
                <w:kern w:val="2"/>
                <w:sz w:val="24"/>
                <w:szCs w:val="24"/>
                <w:highlight w:val="yellow"/>
                <w:lang w:val="en-US" w:eastAsia="zh-CN" w:bidi="ar-SA"/>
              </w:rPr>
              <w:t>，今年客户投诉的情况都顺利解决</w:t>
            </w:r>
            <w:r>
              <w:rPr>
                <w:rFonts w:hint="eastAsia" w:eastAsia="仿宋_GB2312" w:cs="仿宋_GB2312" w:asciiTheme="minorHAnsi" w:hAnsiTheme="minorHAnsi"/>
                <w:kern w:val="2"/>
                <w:sz w:val="24"/>
                <w:szCs w:val="24"/>
                <w:highlight w:val="yellow"/>
                <w:lang w:val="en-US" w:eastAsia="zh-CN" w:bidi="ar-SA"/>
              </w:rPr>
              <w:t>。投诉数量7笔，投诉业务类别多为业务类，银行业务咨询方面投诉，投诉地区为沂源县区域内。</w:t>
            </w:r>
            <w:bookmarkStart w:id="0" w:name="_GoBack"/>
            <w:bookmarkEnd w:id="0"/>
          </w:p>
          <w:p>
            <w:pPr>
              <w:ind w:firstLine="31680"/>
              <w:rPr>
                <w:szCs w:val="24"/>
                <w:highlight w:val="yellow"/>
              </w:rPr>
            </w:pPr>
          </w:p>
          <w:p>
            <w:pPr>
              <w:pStyle w:val="3"/>
            </w:pPr>
          </w:p>
        </w:tc>
      </w:tr>
    </w:tbl>
    <w:p>
      <w:pPr>
        <w:ind w:firstLine="0" w:firstLineChars="0"/>
        <w:rPr>
          <w:rFonts w:ascii="仿宋_GB2312"/>
          <w:b/>
          <w:sz w:val="28"/>
          <w:szCs w:val="28"/>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ind w:firstLine="31680"/>
              <w:rPr>
                <w:szCs w:val="24"/>
              </w:rPr>
            </w:pPr>
          </w:p>
        </w:tc>
      </w:tr>
    </w:tbl>
    <w:p>
      <w:pPr>
        <w:ind w:firstLine="0" w:firstLineChars="0"/>
        <w:rPr>
          <w:sz w:val="28"/>
          <w:szCs w:val="28"/>
        </w:rPr>
      </w:pPr>
    </w:p>
    <w:p>
      <w:pPr>
        <w:ind w:firstLine="0" w:firstLineChars="0"/>
        <w:rPr>
          <w:sz w:val="28"/>
          <w:szCs w:val="28"/>
        </w:rPr>
      </w:pPr>
    </w:p>
    <w:p>
      <w:pPr>
        <w:ind w:firstLine="0" w:firstLineChars="0"/>
        <w:jc w:val="center"/>
        <w:rPr>
          <w:rFonts w:ascii="黑体" w:eastAsia="黑体"/>
          <w:b/>
          <w:sz w:val="28"/>
          <w:szCs w:val="28"/>
        </w:rPr>
      </w:pPr>
      <w:r>
        <w:rPr>
          <w:rFonts w:hint="eastAsia" w:ascii="黑体" w:eastAsia="黑体"/>
          <w:b/>
          <w:sz w:val="28"/>
          <w:szCs w:val="28"/>
          <w:lang w:eastAsia="zh-CN"/>
        </w:rPr>
        <w:t>六、携手共进 致力员工全面成长</w:t>
      </w:r>
    </w:p>
    <w:p>
      <w:pPr>
        <w:ind w:firstLine="31680"/>
        <w:rPr>
          <w:rFonts w:ascii="仿宋_GB2312"/>
          <w:b/>
          <w:sz w:val="28"/>
          <w:szCs w:val="28"/>
        </w:rPr>
      </w:pPr>
      <w:r>
        <w:rPr>
          <w:rFonts w:hint="eastAsia" w:ascii="仿宋_GB2312"/>
          <w:b/>
        </w:rPr>
        <w:t>●</w:t>
      </w:r>
      <w:r>
        <w:rPr>
          <w:rFonts w:hint="eastAsia" w:ascii="仿宋_GB2312"/>
          <w:b/>
          <w:sz w:val="28"/>
          <w:szCs w:val="28"/>
        </w:rPr>
        <w:t>概述</w:t>
      </w:r>
    </w:p>
    <w:p>
      <w:pPr>
        <w:ind w:firstLine="31680"/>
        <w:rPr>
          <w:szCs w:val="24"/>
          <w:highlight w:val="none"/>
        </w:rPr>
      </w:pPr>
      <w:r>
        <w:rPr>
          <w:rFonts w:hint="eastAsia"/>
          <w:highlight w:val="none"/>
        </w:rPr>
        <w:t>（请参照指引指标</w:t>
      </w:r>
      <w:r>
        <w:rPr>
          <w:rFonts w:hint="eastAsia"/>
          <w:highlight w:val="none"/>
          <w:lang w:val="en-US" w:eastAsia="zh-CN"/>
        </w:rPr>
        <w:t>25</w:t>
      </w:r>
      <w:r>
        <w:rPr>
          <w:rFonts w:hint="eastAsia"/>
          <w:highlight w:val="none"/>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highlight w:val="none"/>
              </w:rPr>
            </w:pPr>
            <w:r>
              <w:rPr>
                <w:rFonts w:hint="eastAsia"/>
                <w:szCs w:val="24"/>
                <w:highlight w:val="none"/>
                <w:lang w:eastAsia="zh-CN"/>
              </w:rPr>
              <w:t>会员单位无需编写</w:t>
            </w:r>
          </w:p>
        </w:tc>
      </w:tr>
    </w:tbl>
    <w:p>
      <w:pPr>
        <w:ind w:firstLine="0" w:firstLineChars="0"/>
        <w:rPr>
          <w:rFonts w:ascii="仿宋_GB2312"/>
          <w:b/>
          <w:sz w:val="28"/>
          <w:szCs w:val="28"/>
          <w:highlight w:val="none"/>
        </w:rPr>
      </w:pPr>
    </w:p>
    <w:p>
      <w:pPr>
        <w:ind w:firstLine="31680"/>
        <w:rPr>
          <w:rFonts w:hint="eastAsia" w:ascii="仿宋_GB2312" w:eastAsia="仿宋_GB2312"/>
          <w:b/>
          <w:sz w:val="28"/>
          <w:szCs w:val="28"/>
          <w:highlight w:val="none"/>
          <w:lang w:eastAsia="zh-CN"/>
        </w:rPr>
      </w:pPr>
      <w:r>
        <w:rPr>
          <w:rFonts w:hint="eastAsia" w:ascii="仿宋_GB2312"/>
          <w:b/>
          <w:highlight w:val="none"/>
        </w:rPr>
        <w:t>●</w:t>
      </w:r>
      <w:r>
        <w:rPr>
          <w:rFonts w:hint="eastAsia" w:ascii="仿宋_GB2312"/>
          <w:b/>
          <w:sz w:val="28"/>
          <w:szCs w:val="28"/>
          <w:highlight w:val="none"/>
          <w:lang w:eastAsia="zh-CN"/>
        </w:rPr>
        <w:t>保障员工权益</w:t>
      </w:r>
    </w:p>
    <w:p>
      <w:pPr>
        <w:ind w:firstLine="31680"/>
        <w:rPr>
          <w:szCs w:val="24"/>
          <w:highlight w:val="none"/>
        </w:rPr>
      </w:pPr>
      <w:r>
        <w:rPr>
          <w:rFonts w:hint="eastAsia"/>
          <w:highlight w:val="none"/>
        </w:rPr>
        <w:t>（请参照指引指标</w:t>
      </w:r>
      <w:r>
        <w:rPr>
          <w:rFonts w:hint="eastAsia"/>
          <w:highlight w:val="none"/>
          <w:lang w:val="en-US" w:eastAsia="zh-CN"/>
        </w:rPr>
        <w:t>26</w:t>
      </w:r>
      <w:r>
        <w:rPr>
          <w:rFonts w:hint="eastAsia"/>
          <w:highlight w:val="none"/>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ind w:firstLine="31680"/>
              <w:rPr>
                <w:rFonts w:hint="default" w:eastAsia="仿宋_GB2312"/>
                <w:szCs w:val="24"/>
                <w:highlight w:val="none"/>
                <w:lang w:val="en-US" w:eastAsia="zh-CN"/>
              </w:rPr>
            </w:pPr>
            <w:r>
              <w:rPr>
                <w:rFonts w:hint="eastAsia"/>
                <w:szCs w:val="24"/>
                <w:highlight w:val="none"/>
                <w:lang w:val="en-US" w:eastAsia="zh-CN"/>
              </w:rPr>
              <w:t>全行员工缴纳五险两金，同时为全行员工及家属购买齐惠保，不仅保障员工切身利益，更进一步提升员工凝聚力、向心力，提高员工工作积极性。</w:t>
            </w:r>
          </w:p>
          <w:p>
            <w:pPr>
              <w:ind w:firstLine="31680"/>
              <w:rPr>
                <w:szCs w:val="24"/>
                <w:highlight w:val="none"/>
              </w:rPr>
            </w:pPr>
          </w:p>
        </w:tc>
      </w:tr>
    </w:tbl>
    <w:p>
      <w:pPr>
        <w:ind w:firstLine="0" w:firstLineChars="0"/>
        <w:rPr>
          <w:rFonts w:ascii="仿宋_GB2312"/>
          <w:b/>
          <w:sz w:val="28"/>
          <w:szCs w:val="28"/>
          <w:highlight w:val="none"/>
        </w:rPr>
      </w:pPr>
    </w:p>
    <w:p>
      <w:pPr>
        <w:ind w:firstLine="31680"/>
        <w:rPr>
          <w:rFonts w:hint="default" w:ascii="仿宋_GB2312"/>
          <w:b/>
          <w:sz w:val="28"/>
          <w:szCs w:val="28"/>
          <w:highlight w:val="none"/>
          <w:lang w:val="en-US"/>
        </w:rPr>
      </w:pPr>
      <w:r>
        <w:rPr>
          <w:rFonts w:hint="eastAsia" w:ascii="仿宋_GB2312"/>
          <w:b/>
          <w:sz w:val="28"/>
          <w:szCs w:val="28"/>
          <w:highlight w:val="none"/>
          <w:lang w:eastAsia="zh-CN"/>
        </w:rPr>
        <w:t>●助力员工成长</w:t>
      </w:r>
    </w:p>
    <w:p>
      <w:pPr>
        <w:ind w:firstLine="31680"/>
        <w:rPr>
          <w:szCs w:val="24"/>
          <w:highlight w:val="none"/>
        </w:rPr>
      </w:pPr>
      <w:r>
        <w:rPr>
          <w:rFonts w:hint="eastAsia"/>
          <w:highlight w:val="none"/>
        </w:rPr>
        <w:t>（请参照指引指标</w:t>
      </w:r>
      <w:r>
        <w:rPr>
          <w:rFonts w:hint="eastAsia"/>
          <w:highlight w:val="none"/>
          <w:lang w:val="en-US" w:eastAsia="zh-CN"/>
        </w:rPr>
        <w:t>27</w:t>
      </w:r>
      <w:r>
        <w:rPr>
          <w:rFonts w:hint="eastAsia"/>
          <w:highlight w:val="none"/>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highlight w:val="none"/>
              </w:rPr>
            </w:pPr>
            <w:r>
              <w:rPr>
                <w:rFonts w:hint="eastAsia"/>
                <w:szCs w:val="24"/>
                <w:highlight w:val="none"/>
                <w:lang w:val="en-US" w:eastAsia="zh-CN"/>
              </w:rPr>
              <w:t xml:space="preserve"> </w:t>
            </w:r>
            <w:r>
              <w:rPr>
                <w:rFonts w:hint="eastAsia" w:ascii="仿宋_GB2312" w:hAnsi="仿宋" w:eastAsia="仿宋_GB2312" w:cs="仿宋_GB2312"/>
                <w:highlight w:val="none"/>
              </w:rPr>
              <w:t>该行</w:t>
            </w:r>
            <w:r>
              <w:rPr>
                <w:rFonts w:hint="eastAsia" w:ascii="仿宋_GB2312" w:hAnsi="仿宋" w:eastAsia="仿宋_GB2312" w:cs="仿宋_GB2312"/>
                <w:highlight w:val="none"/>
                <w:lang w:val="en-US" w:eastAsia="zh-CN"/>
              </w:rPr>
              <w:t>围绕发展战略，深入贯彻落实科学发展观，坚持党管人才的原则，坚持以人为本的理念，努力提高员工队伍的整体素质，深化改革用人机制和激励约束机制，</w:t>
            </w:r>
            <w:r>
              <w:rPr>
                <w:rFonts w:hint="eastAsia" w:ascii="仿宋_GB2312" w:hAnsi="仿宋" w:cs="仿宋_GB2312"/>
                <w:highlight w:val="none"/>
                <w:lang w:val="en-US" w:eastAsia="zh-CN"/>
              </w:rPr>
              <w:t>建立积分等级评定制度，为员工晋升提供多维通道，</w:t>
            </w:r>
            <w:r>
              <w:rPr>
                <w:rFonts w:hint="eastAsia" w:ascii="仿宋_GB2312" w:hAnsi="仿宋" w:eastAsia="仿宋_GB2312" w:cs="仿宋_GB2312"/>
                <w:highlight w:val="none"/>
                <w:lang w:val="en-US" w:eastAsia="zh-CN"/>
              </w:rPr>
              <w:t>统筹推进各类人才队伍建设，更好的实现人才强企战略，为全行战略目标的顺利实现提供人才保障。</w:t>
            </w:r>
          </w:p>
          <w:p>
            <w:pPr>
              <w:pStyle w:val="5"/>
              <w:rPr>
                <w:rFonts w:hint="eastAsia" w:eastAsia="仿宋_GB2312"/>
                <w:szCs w:val="24"/>
                <w:highlight w:val="none"/>
                <w:lang w:val="en-US" w:eastAsia="zh-CN"/>
              </w:rPr>
            </w:pPr>
          </w:p>
          <w:p>
            <w:pPr>
              <w:rPr>
                <w:highlight w:val="none"/>
              </w:rPr>
            </w:pPr>
          </w:p>
        </w:tc>
      </w:tr>
    </w:tbl>
    <w:p>
      <w:pPr>
        <w:ind w:firstLine="0" w:firstLineChars="0"/>
        <w:rPr>
          <w:rFonts w:ascii="仿宋_GB2312"/>
          <w:b/>
          <w:sz w:val="28"/>
          <w:szCs w:val="28"/>
          <w:highlight w:val="none"/>
        </w:rPr>
      </w:pPr>
    </w:p>
    <w:p>
      <w:pPr>
        <w:ind w:firstLine="31680"/>
        <w:rPr>
          <w:rFonts w:hint="eastAsia" w:ascii="仿宋_GB2312" w:eastAsia="仿宋_GB2312"/>
          <w:b/>
          <w:sz w:val="28"/>
          <w:szCs w:val="28"/>
          <w:highlight w:val="none"/>
          <w:lang w:eastAsia="zh-CN"/>
        </w:rPr>
      </w:pPr>
      <w:r>
        <w:rPr>
          <w:rFonts w:hint="eastAsia" w:ascii="仿宋_GB2312"/>
          <w:b/>
          <w:highlight w:val="none"/>
        </w:rPr>
        <w:t>●</w:t>
      </w:r>
      <w:r>
        <w:rPr>
          <w:rFonts w:hint="eastAsia" w:ascii="仿宋_GB2312"/>
          <w:b/>
          <w:sz w:val="28"/>
          <w:szCs w:val="28"/>
          <w:highlight w:val="none"/>
          <w:lang w:eastAsia="zh-CN"/>
        </w:rPr>
        <w:t>关爱员工生活</w:t>
      </w:r>
    </w:p>
    <w:p>
      <w:pPr>
        <w:ind w:firstLine="31680"/>
        <w:rPr>
          <w:szCs w:val="24"/>
          <w:highlight w:val="none"/>
        </w:rPr>
      </w:pPr>
      <w:r>
        <w:rPr>
          <w:rFonts w:hint="eastAsia"/>
          <w:highlight w:val="none"/>
        </w:rPr>
        <w:t>（请参照指引指标</w:t>
      </w:r>
      <w:r>
        <w:rPr>
          <w:rFonts w:hint="eastAsia"/>
          <w:highlight w:val="none"/>
          <w:lang w:val="en-US" w:eastAsia="zh-CN"/>
        </w:rPr>
        <w:t>28</w:t>
      </w:r>
      <w:r>
        <w:rPr>
          <w:rFonts w:hint="eastAsia"/>
          <w:highlight w:val="none"/>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522" w:type="dxa"/>
          </w:tcPr>
          <w:p>
            <w:pPr>
              <w:ind w:firstLine="31680"/>
              <w:rPr>
                <w:szCs w:val="24"/>
                <w:highlight w:val="none"/>
              </w:rPr>
            </w:pPr>
            <w:r>
              <w:rPr>
                <w:rFonts w:hint="eastAsia" w:ascii="仿宋_GB2312" w:hAnsi="仿宋" w:eastAsia="仿宋_GB2312" w:cs="仿宋_GB2312"/>
                <w:highlight w:val="none"/>
              </w:rPr>
              <w:t>行</w:t>
            </w:r>
            <w:r>
              <w:rPr>
                <w:rFonts w:hint="eastAsia" w:ascii="仿宋_GB2312" w:hAnsi="仿宋" w:eastAsia="仿宋_GB2312" w:cs="仿宋_GB2312"/>
                <w:highlight w:val="none"/>
                <w:lang w:val="en-US" w:eastAsia="zh-CN"/>
              </w:rPr>
              <w:t>注重员工工作生活环境建设，坚持尊重劳动、尊重知识、尊重人才、尊重创造，努力为员工成长营造良好的制度环境、文化环境、舆论环境和生活环境。</w:t>
            </w:r>
          </w:p>
          <w:p>
            <w:pPr>
              <w:pStyle w:val="3"/>
              <w:rPr>
                <w:highlight w:val="none"/>
              </w:rPr>
            </w:pPr>
          </w:p>
        </w:tc>
      </w:tr>
    </w:tbl>
    <w:p>
      <w:pPr>
        <w:ind w:firstLine="31680"/>
        <w:rPr>
          <w:rFonts w:hint="eastAsia" w:ascii="仿宋_GB2312"/>
          <w:b/>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p>
          <w:p>
            <w:pPr>
              <w:ind w:firstLine="31680"/>
              <w:rPr>
                <w:szCs w:val="24"/>
              </w:rPr>
            </w:pPr>
          </w:p>
        </w:tc>
      </w:tr>
    </w:tbl>
    <w:p>
      <w:pPr>
        <w:ind w:firstLine="0" w:firstLineChars="0"/>
        <w:rPr>
          <w:sz w:val="28"/>
          <w:szCs w:val="28"/>
        </w:rPr>
      </w:pPr>
    </w:p>
    <w:p>
      <w:pPr>
        <w:ind w:firstLine="0" w:firstLineChars="0"/>
        <w:rPr>
          <w:sz w:val="28"/>
          <w:szCs w:val="28"/>
        </w:rPr>
      </w:pPr>
    </w:p>
    <w:p>
      <w:pPr>
        <w:ind w:firstLine="0" w:firstLineChars="0"/>
        <w:jc w:val="center"/>
        <w:rPr>
          <w:rFonts w:ascii="黑体" w:eastAsia="黑体"/>
          <w:b/>
          <w:sz w:val="28"/>
          <w:szCs w:val="28"/>
        </w:rPr>
      </w:pPr>
      <w:r>
        <w:rPr>
          <w:rFonts w:hint="eastAsia" w:ascii="黑体" w:eastAsia="黑体"/>
          <w:b/>
          <w:sz w:val="28"/>
          <w:szCs w:val="28"/>
          <w:lang w:eastAsia="zh-CN"/>
        </w:rPr>
        <w:t>七、热心公益 共建和谐美好生活</w:t>
      </w:r>
    </w:p>
    <w:p>
      <w:pPr>
        <w:ind w:firstLine="31680"/>
        <w:rPr>
          <w:rFonts w:ascii="仿宋_GB2312"/>
          <w:b/>
          <w:sz w:val="28"/>
          <w:szCs w:val="28"/>
        </w:rPr>
      </w:pPr>
      <w:r>
        <w:rPr>
          <w:rFonts w:hint="eastAsia" w:ascii="仿宋_GB2312"/>
          <w:b/>
        </w:rPr>
        <w:t>●</w:t>
      </w:r>
      <w:r>
        <w:rPr>
          <w:rFonts w:hint="eastAsia" w:ascii="仿宋_GB2312"/>
          <w:b/>
          <w:sz w:val="28"/>
          <w:szCs w:val="28"/>
        </w:rPr>
        <w:t>概述</w:t>
      </w:r>
    </w:p>
    <w:p>
      <w:pPr>
        <w:ind w:firstLine="31680"/>
        <w:rPr>
          <w:szCs w:val="24"/>
        </w:rPr>
      </w:pPr>
      <w:r>
        <w:rPr>
          <w:rFonts w:hint="eastAsia"/>
        </w:rPr>
        <w:t>（请参照指引指标</w:t>
      </w:r>
      <w:r>
        <w:rPr>
          <w:rFonts w:hint="eastAsia"/>
          <w:lang w:val="en-US" w:eastAsia="zh-CN"/>
        </w:rPr>
        <w:t>29</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r>
              <w:rPr>
                <w:rFonts w:hint="eastAsia"/>
                <w:szCs w:val="24"/>
                <w:lang w:eastAsia="zh-CN"/>
              </w:rPr>
              <w:t>会员单位无需编写</w:t>
            </w: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助力社会公益</w:t>
      </w:r>
    </w:p>
    <w:p>
      <w:pPr>
        <w:ind w:firstLine="31680"/>
        <w:rPr>
          <w:szCs w:val="24"/>
        </w:rPr>
      </w:pPr>
      <w:r>
        <w:rPr>
          <w:rFonts w:hint="eastAsia"/>
        </w:rPr>
        <w:t>（请参照指引指标</w:t>
      </w:r>
      <w:r>
        <w:rPr>
          <w:rFonts w:hint="eastAsia"/>
          <w:lang w:val="en-US" w:eastAsia="zh-CN"/>
        </w:rPr>
        <w:t>30</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rFonts w:hint="eastAsia" w:cs="仿宋_GB2312"/>
                <w:lang w:val="en-US" w:eastAsia="zh-CN"/>
              </w:rPr>
            </w:pPr>
            <w:r>
              <w:rPr>
                <w:rFonts w:hint="eastAsia"/>
                <w:szCs w:val="24"/>
                <w:lang w:val="en-US" w:eastAsia="zh-CN"/>
              </w:rPr>
              <w:t>我行与</w:t>
            </w:r>
            <w:r>
              <w:rPr>
                <w:rFonts w:hint="eastAsia" w:cs="仿宋_GB2312"/>
              </w:rPr>
              <w:t>各镇办扶贫部门联合开展孝善扶贫活动</w:t>
            </w:r>
            <w:r>
              <w:rPr>
                <w:rFonts w:hint="eastAsia" w:cs="仿宋_GB2312"/>
                <w:lang w:eastAsia="zh-CN"/>
              </w:rPr>
              <w:t>，</w:t>
            </w:r>
            <w:r>
              <w:rPr>
                <w:rFonts w:hint="eastAsia" w:cs="仿宋_GB2312"/>
                <w:lang w:val="en-US" w:eastAsia="zh-CN"/>
              </w:rPr>
              <w:t>为五个村贫困户、低保户捐赠生活物资及建设资金，总金额超过30万元。</w:t>
            </w:r>
          </w:p>
          <w:p>
            <w:pPr>
              <w:ind w:firstLine="31680"/>
              <w:rPr>
                <w:szCs w:val="24"/>
              </w:rPr>
            </w:pPr>
            <w:r>
              <w:rPr>
                <w:rFonts w:hint="eastAsia" w:cs="仿宋_GB2312"/>
                <w:lang w:val="en-US" w:eastAsia="zh-CN"/>
              </w:rPr>
              <w:t>走访敬老院，为敬老院捐赠资金物资5万元。</w:t>
            </w:r>
          </w:p>
          <w:p>
            <w:pPr>
              <w:ind w:firstLine="31680"/>
              <w:rPr>
                <w:szCs w:val="24"/>
              </w:rPr>
            </w:pPr>
            <w:r>
              <w:rPr>
                <w:rFonts w:hint="eastAsia"/>
                <w:szCs w:val="24"/>
              </w:rPr>
              <w:t> </w:t>
            </w:r>
          </w:p>
        </w:tc>
      </w:tr>
    </w:tbl>
    <w:p>
      <w:pPr>
        <w:ind w:firstLine="0" w:firstLineChars="0"/>
        <w:rPr>
          <w:rFonts w:ascii="仿宋_GB2312"/>
          <w:b/>
          <w:sz w:val="28"/>
          <w:szCs w:val="28"/>
        </w:rPr>
      </w:pPr>
    </w:p>
    <w:p>
      <w:pPr>
        <w:ind w:firstLine="31680"/>
        <w:rPr>
          <w:rFonts w:hint="eastAsia" w:ascii="仿宋_GB2312" w:eastAsia="仿宋_GB2312"/>
          <w:b/>
          <w:sz w:val="28"/>
          <w:szCs w:val="28"/>
          <w:lang w:eastAsia="zh-CN"/>
        </w:rPr>
      </w:pPr>
      <w:r>
        <w:rPr>
          <w:rFonts w:hint="eastAsia" w:ascii="仿宋_GB2312"/>
          <w:b/>
        </w:rPr>
        <w:t>●</w:t>
      </w:r>
      <w:r>
        <w:rPr>
          <w:rFonts w:hint="eastAsia" w:ascii="仿宋_GB2312"/>
          <w:b/>
          <w:sz w:val="28"/>
          <w:szCs w:val="28"/>
          <w:lang w:eastAsia="zh-CN"/>
        </w:rPr>
        <w:t>参与志愿活动</w:t>
      </w:r>
    </w:p>
    <w:p>
      <w:pPr>
        <w:ind w:firstLine="31680"/>
        <w:rPr>
          <w:szCs w:val="24"/>
        </w:rPr>
      </w:pPr>
      <w:r>
        <w:rPr>
          <w:rFonts w:hint="eastAsia"/>
        </w:rPr>
        <w:t>（请参照指引指标</w:t>
      </w:r>
      <w:r>
        <w:rPr>
          <w:rFonts w:hint="eastAsia"/>
          <w:lang w:val="en-US" w:eastAsia="zh-CN"/>
        </w:rPr>
        <w:t>31</w:t>
      </w:r>
      <w:r>
        <w:rPr>
          <w:rFonts w:hint="eastAsia"/>
        </w:rPr>
        <w:t>内容编写，也可自拟内容编写。）</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firstLine="31680"/>
              <w:rPr>
                <w:szCs w:val="24"/>
              </w:rPr>
            </w:pPr>
            <w:r>
              <w:rPr>
                <w:rFonts w:hint="eastAsia"/>
                <w:szCs w:val="24"/>
                <w:lang w:val="en-US" w:eastAsia="zh-CN"/>
              </w:rPr>
              <w:t>积极组织员工开展创城志愿服务，连续2个月走上街头巷尾，打扫、维持公共卫生。</w:t>
            </w:r>
          </w:p>
          <w:p>
            <w:pPr>
              <w:pStyle w:val="3"/>
            </w:pPr>
          </w:p>
        </w:tc>
      </w:tr>
    </w:tbl>
    <w:p>
      <w:pPr>
        <w:ind w:firstLine="31680"/>
        <w:rPr>
          <w:rFonts w:hint="eastAsia" w:ascii="仿宋_GB2312"/>
          <w:b/>
        </w:rPr>
      </w:pPr>
    </w:p>
    <w:p>
      <w:pPr>
        <w:ind w:firstLine="31680"/>
        <w:rPr>
          <w:szCs w:val="24"/>
        </w:rPr>
      </w:pPr>
      <w:r>
        <w:rPr>
          <w:rFonts w:hint="eastAsia" w:ascii="仿宋_GB2312"/>
          <w:b/>
        </w:rPr>
        <w:t>●</w:t>
      </w:r>
      <w:r>
        <w:rPr>
          <w:rFonts w:hint="eastAsia" w:ascii="仿宋_GB2312"/>
          <w:b/>
          <w:sz w:val="28"/>
          <w:szCs w:val="28"/>
        </w:rPr>
        <w:t>其他添加</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tcPr>
          <w:p>
            <w:pPr>
              <w:ind w:left="0" w:leftChars="0" w:firstLine="0" w:firstLineChars="0"/>
              <w:rPr>
                <w:szCs w:val="24"/>
              </w:rPr>
            </w:pPr>
          </w:p>
          <w:p>
            <w:pPr>
              <w:ind w:left="0" w:leftChars="0" w:firstLine="0" w:firstLineChars="0"/>
              <w:rPr>
                <w:szCs w:val="24"/>
              </w:rPr>
            </w:pPr>
          </w:p>
        </w:tc>
      </w:tr>
    </w:tbl>
    <w:p>
      <w:pPr>
        <w:ind w:firstLine="0" w:firstLineChars="0"/>
        <w:rPr>
          <w:sz w:val="28"/>
          <w:szCs w:val="28"/>
        </w:rPr>
      </w:pPr>
    </w:p>
    <w:p>
      <w:pPr>
        <w:ind w:firstLine="0" w:firstLineChars="0"/>
        <w:rPr>
          <w:sz w:val="28"/>
          <w:szCs w:val="28"/>
        </w:rPr>
      </w:pPr>
    </w:p>
    <w:p>
      <w:pPr>
        <w:numPr>
          <w:ilvl w:val="0"/>
          <w:numId w:val="0"/>
        </w:numPr>
        <w:jc w:val="both"/>
        <w:rPr>
          <w:rFonts w:hint="eastAsia" w:ascii="宋体" w:hAnsi="宋体"/>
          <w:b/>
          <w:sz w:val="28"/>
          <w:szCs w:val="28"/>
          <w:highlight w:val="none"/>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jc w:val="center"/>
    </w:pPr>
    <w:r>
      <w:fldChar w:fldCharType="begin"/>
    </w:r>
    <w:r>
      <w:instrText xml:space="preserve">PAGE   \* MERGEFORMAT</w:instrText>
    </w:r>
    <w:r>
      <w:fldChar w:fldCharType="separate"/>
    </w:r>
    <w:r>
      <w:rPr>
        <w:lang w:val="zh-CN"/>
      </w:rPr>
      <w:t>13</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16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16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E1785"/>
    <w:multiLevelType w:val="singleLevel"/>
    <w:tmpl w:val="0D2E178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1ZWVmYTZkMmU1OTMwNWQ0OTdkYmY2NzZkNWVkZmYifQ=="/>
  </w:docVars>
  <w:rsids>
    <w:rsidRoot w:val="00687DA8"/>
    <w:rsid w:val="000163D1"/>
    <w:rsid w:val="000219B8"/>
    <w:rsid w:val="000235E2"/>
    <w:rsid w:val="000267F2"/>
    <w:rsid w:val="00035819"/>
    <w:rsid w:val="00047BB1"/>
    <w:rsid w:val="00062759"/>
    <w:rsid w:val="0007014A"/>
    <w:rsid w:val="00076B6E"/>
    <w:rsid w:val="00076FA3"/>
    <w:rsid w:val="00081786"/>
    <w:rsid w:val="000839DD"/>
    <w:rsid w:val="0008479D"/>
    <w:rsid w:val="000A0EFA"/>
    <w:rsid w:val="000B7F26"/>
    <w:rsid w:val="000C1D0F"/>
    <w:rsid w:val="000C7200"/>
    <w:rsid w:val="000E2637"/>
    <w:rsid w:val="000E49CA"/>
    <w:rsid w:val="000E4D8B"/>
    <w:rsid w:val="000F1DF7"/>
    <w:rsid w:val="000F2FF6"/>
    <w:rsid w:val="000F4882"/>
    <w:rsid w:val="001020A7"/>
    <w:rsid w:val="0010248B"/>
    <w:rsid w:val="00104570"/>
    <w:rsid w:val="00116717"/>
    <w:rsid w:val="0012088C"/>
    <w:rsid w:val="00124588"/>
    <w:rsid w:val="00126DB5"/>
    <w:rsid w:val="00141066"/>
    <w:rsid w:val="00152524"/>
    <w:rsid w:val="00157AD7"/>
    <w:rsid w:val="001954A2"/>
    <w:rsid w:val="00197772"/>
    <w:rsid w:val="001A040F"/>
    <w:rsid w:val="001C2A47"/>
    <w:rsid w:val="001C5991"/>
    <w:rsid w:val="001C5B68"/>
    <w:rsid w:val="001D5D1B"/>
    <w:rsid w:val="001E33A2"/>
    <w:rsid w:val="001F6B50"/>
    <w:rsid w:val="002119B3"/>
    <w:rsid w:val="00216C31"/>
    <w:rsid w:val="00223DA8"/>
    <w:rsid w:val="0023364F"/>
    <w:rsid w:val="00250734"/>
    <w:rsid w:val="002516E2"/>
    <w:rsid w:val="002641D2"/>
    <w:rsid w:val="0026605E"/>
    <w:rsid w:val="002752D4"/>
    <w:rsid w:val="00283706"/>
    <w:rsid w:val="002B02A2"/>
    <w:rsid w:val="002C1A1F"/>
    <w:rsid w:val="002F658E"/>
    <w:rsid w:val="0030489E"/>
    <w:rsid w:val="003201E2"/>
    <w:rsid w:val="00322C86"/>
    <w:rsid w:val="00324565"/>
    <w:rsid w:val="003278D7"/>
    <w:rsid w:val="00335AAE"/>
    <w:rsid w:val="00337BFA"/>
    <w:rsid w:val="00370C55"/>
    <w:rsid w:val="0038145D"/>
    <w:rsid w:val="003B208C"/>
    <w:rsid w:val="003B7CF8"/>
    <w:rsid w:val="003C3967"/>
    <w:rsid w:val="003E7ABC"/>
    <w:rsid w:val="003F62FE"/>
    <w:rsid w:val="003F6C21"/>
    <w:rsid w:val="0040151C"/>
    <w:rsid w:val="00402B16"/>
    <w:rsid w:val="004133D2"/>
    <w:rsid w:val="004153BD"/>
    <w:rsid w:val="00421C10"/>
    <w:rsid w:val="00426766"/>
    <w:rsid w:val="00434352"/>
    <w:rsid w:val="004363F4"/>
    <w:rsid w:val="00444A99"/>
    <w:rsid w:val="00447ED2"/>
    <w:rsid w:val="004504BE"/>
    <w:rsid w:val="00462BF9"/>
    <w:rsid w:val="00473FB2"/>
    <w:rsid w:val="0049406E"/>
    <w:rsid w:val="004B3568"/>
    <w:rsid w:val="004B69B8"/>
    <w:rsid w:val="004D313C"/>
    <w:rsid w:val="00501967"/>
    <w:rsid w:val="00537304"/>
    <w:rsid w:val="00554694"/>
    <w:rsid w:val="00555311"/>
    <w:rsid w:val="00555F59"/>
    <w:rsid w:val="00560326"/>
    <w:rsid w:val="00585059"/>
    <w:rsid w:val="00595FD7"/>
    <w:rsid w:val="005967A6"/>
    <w:rsid w:val="005A1A38"/>
    <w:rsid w:val="005A5588"/>
    <w:rsid w:val="005B2751"/>
    <w:rsid w:val="005C4882"/>
    <w:rsid w:val="005D7660"/>
    <w:rsid w:val="005F4FA7"/>
    <w:rsid w:val="006130E3"/>
    <w:rsid w:val="006313BC"/>
    <w:rsid w:val="006339E1"/>
    <w:rsid w:val="006460C3"/>
    <w:rsid w:val="00647308"/>
    <w:rsid w:val="0065126A"/>
    <w:rsid w:val="00663DB4"/>
    <w:rsid w:val="00670862"/>
    <w:rsid w:val="006822AF"/>
    <w:rsid w:val="006840EA"/>
    <w:rsid w:val="00687DA8"/>
    <w:rsid w:val="006A4E26"/>
    <w:rsid w:val="006A59C5"/>
    <w:rsid w:val="006A5C10"/>
    <w:rsid w:val="006A660A"/>
    <w:rsid w:val="006B3E12"/>
    <w:rsid w:val="006C1BB8"/>
    <w:rsid w:val="006E1CD7"/>
    <w:rsid w:val="006F3B71"/>
    <w:rsid w:val="006F6921"/>
    <w:rsid w:val="007004ED"/>
    <w:rsid w:val="00711957"/>
    <w:rsid w:val="00717D77"/>
    <w:rsid w:val="00717DDF"/>
    <w:rsid w:val="00724784"/>
    <w:rsid w:val="00745C9C"/>
    <w:rsid w:val="007704D0"/>
    <w:rsid w:val="00776399"/>
    <w:rsid w:val="00781C8F"/>
    <w:rsid w:val="0078582F"/>
    <w:rsid w:val="007921B9"/>
    <w:rsid w:val="00797E07"/>
    <w:rsid w:val="007C1F16"/>
    <w:rsid w:val="007C61AB"/>
    <w:rsid w:val="007E133A"/>
    <w:rsid w:val="007E50DD"/>
    <w:rsid w:val="007F116B"/>
    <w:rsid w:val="007F7178"/>
    <w:rsid w:val="00810B54"/>
    <w:rsid w:val="00826BDB"/>
    <w:rsid w:val="00830029"/>
    <w:rsid w:val="0083012E"/>
    <w:rsid w:val="0085000B"/>
    <w:rsid w:val="00855115"/>
    <w:rsid w:val="0085709A"/>
    <w:rsid w:val="008607EB"/>
    <w:rsid w:val="00866A65"/>
    <w:rsid w:val="008871CA"/>
    <w:rsid w:val="00894780"/>
    <w:rsid w:val="0089694D"/>
    <w:rsid w:val="008A55FC"/>
    <w:rsid w:val="008A617D"/>
    <w:rsid w:val="008C2DA5"/>
    <w:rsid w:val="008D4543"/>
    <w:rsid w:val="009059E3"/>
    <w:rsid w:val="00906C37"/>
    <w:rsid w:val="00912321"/>
    <w:rsid w:val="00940AE2"/>
    <w:rsid w:val="00960809"/>
    <w:rsid w:val="00962247"/>
    <w:rsid w:val="00962844"/>
    <w:rsid w:val="009647B0"/>
    <w:rsid w:val="009717B1"/>
    <w:rsid w:val="00983227"/>
    <w:rsid w:val="009969EE"/>
    <w:rsid w:val="009A3544"/>
    <w:rsid w:val="009A36C4"/>
    <w:rsid w:val="009A4C89"/>
    <w:rsid w:val="009A73E5"/>
    <w:rsid w:val="009B7DBF"/>
    <w:rsid w:val="009C2102"/>
    <w:rsid w:val="009E2F5B"/>
    <w:rsid w:val="009F6EB9"/>
    <w:rsid w:val="00A10DAB"/>
    <w:rsid w:val="00A11959"/>
    <w:rsid w:val="00A12443"/>
    <w:rsid w:val="00A16FF7"/>
    <w:rsid w:val="00A37E16"/>
    <w:rsid w:val="00A61C15"/>
    <w:rsid w:val="00A65D72"/>
    <w:rsid w:val="00A67578"/>
    <w:rsid w:val="00A71A15"/>
    <w:rsid w:val="00A875F2"/>
    <w:rsid w:val="00A94324"/>
    <w:rsid w:val="00AA7BC5"/>
    <w:rsid w:val="00AB78BC"/>
    <w:rsid w:val="00AD1A19"/>
    <w:rsid w:val="00AD42F9"/>
    <w:rsid w:val="00AE01BF"/>
    <w:rsid w:val="00AE68C6"/>
    <w:rsid w:val="00AF5406"/>
    <w:rsid w:val="00B03B37"/>
    <w:rsid w:val="00B10918"/>
    <w:rsid w:val="00B14FA5"/>
    <w:rsid w:val="00B171E3"/>
    <w:rsid w:val="00B51BC6"/>
    <w:rsid w:val="00B71910"/>
    <w:rsid w:val="00BA7341"/>
    <w:rsid w:val="00BC4B13"/>
    <w:rsid w:val="00BC6A93"/>
    <w:rsid w:val="00BD16C2"/>
    <w:rsid w:val="00BE30E5"/>
    <w:rsid w:val="00BE391D"/>
    <w:rsid w:val="00C003B9"/>
    <w:rsid w:val="00C01D63"/>
    <w:rsid w:val="00C03F16"/>
    <w:rsid w:val="00C159CD"/>
    <w:rsid w:val="00C3109A"/>
    <w:rsid w:val="00C33202"/>
    <w:rsid w:val="00C40946"/>
    <w:rsid w:val="00C85055"/>
    <w:rsid w:val="00CC57FE"/>
    <w:rsid w:val="00CC695B"/>
    <w:rsid w:val="00CD61A8"/>
    <w:rsid w:val="00CE2216"/>
    <w:rsid w:val="00CE38FE"/>
    <w:rsid w:val="00CF4E19"/>
    <w:rsid w:val="00D044CC"/>
    <w:rsid w:val="00D11821"/>
    <w:rsid w:val="00D217ED"/>
    <w:rsid w:val="00D252E1"/>
    <w:rsid w:val="00D37673"/>
    <w:rsid w:val="00D4170B"/>
    <w:rsid w:val="00D538DD"/>
    <w:rsid w:val="00D54E1E"/>
    <w:rsid w:val="00D60CEA"/>
    <w:rsid w:val="00D6210F"/>
    <w:rsid w:val="00D6471E"/>
    <w:rsid w:val="00D80E1D"/>
    <w:rsid w:val="00D83FED"/>
    <w:rsid w:val="00D85A72"/>
    <w:rsid w:val="00D878C2"/>
    <w:rsid w:val="00D934A4"/>
    <w:rsid w:val="00D94922"/>
    <w:rsid w:val="00D96FC9"/>
    <w:rsid w:val="00DA2AC9"/>
    <w:rsid w:val="00DA2BA9"/>
    <w:rsid w:val="00DA5446"/>
    <w:rsid w:val="00DB3732"/>
    <w:rsid w:val="00DC05BD"/>
    <w:rsid w:val="00DC2658"/>
    <w:rsid w:val="00DE30A1"/>
    <w:rsid w:val="00DF2490"/>
    <w:rsid w:val="00DF5DA8"/>
    <w:rsid w:val="00E01179"/>
    <w:rsid w:val="00E0470A"/>
    <w:rsid w:val="00E06710"/>
    <w:rsid w:val="00E113CA"/>
    <w:rsid w:val="00E20E0B"/>
    <w:rsid w:val="00E23829"/>
    <w:rsid w:val="00E41374"/>
    <w:rsid w:val="00E455EF"/>
    <w:rsid w:val="00E56C53"/>
    <w:rsid w:val="00E57B34"/>
    <w:rsid w:val="00E67E73"/>
    <w:rsid w:val="00E81B73"/>
    <w:rsid w:val="00E82486"/>
    <w:rsid w:val="00E82AEB"/>
    <w:rsid w:val="00E8572D"/>
    <w:rsid w:val="00E864D9"/>
    <w:rsid w:val="00E975C6"/>
    <w:rsid w:val="00EB19E9"/>
    <w:rsid w:val="00EB53A3"/>
    <w:rsid w:val="00EC35DA"/>
    <w:rsid w:val="00ED36BA"/>
    <w:rsid w:val="00ED5F5A"/>
    <w:rsid w:val="00EE05A5"/>
    <w:rsid w:val="00EE087F"/>
    <w:rsid w:val="00EE14DA"/>
    <w:rsid w:val="00F04530"/>
    <w:rsid w:val="00F10214"/>
    <w:rsid w:val="00F17115"/>
    <w:rsid w:val="00F25734"/>
    <w:rsid w:val="00F277B8"/>
    <w:rsid w:val="00F36BCB"/>
    <w:rsid w:val="00F52ECC"/>
    <w:rsid w:val="00F55C92"/>
    <w:rsid w:val="00F566F4"/>
    <w:rsid w:val="00F64031"/>
    <w:rsid w:val="00F65588"/>
    <w:rsid w:val="00F8416D"/>
    <w:rsid w:val="00F94266"/>
    <w:rsid w:val="00FA4B3E"/>
    <w:rsid w:val="00FA7461"/>
    <w:rsid w:val="00FB1BB3"/>
    <w:rsid w:val="00FC0BB3"/>
    <w:rsid w:val="00FD10EE"/>
    <w:rsid w:val="00FE7357"/>
    <w:rsid w:val="00FF49A8"/>
    <w:rsid w:val="0C981B18"/>
    <w:rsid w:val="0E02007A"/>
    <w:rsid w:val="0EFF159F"/>
    <w:rsid w:val="0F9E566C"/>
    <w:rsid w:val="134B701D"/>
    <w:rsid w:val="13547323"/>
    <w:rsid w:val="141404F7"/>
    <w:rsid w:val="16285FB7"/>
    <w:rsid w:val="17AC4899"/>
    <w:rsid w:val="1968609A"/>
    <w:rsid w:val="1AD25EC1"/>
    <w:rsid w:val="1F7D42A1"/>
    <w:rsid w:val="211F1E25"/>
    <w:rsid w:val="226C3E31"/>
    <w:rsid w:val="22E17381"/>
    <w:rsid w:val="24BA57BD"/>
    <w:rsid w:val="25AF43B8"/>
    <w:rsid w:val="2AB21094"/>
    <w:rsid w:val="2C5B0BA8"/>
    <w:rsid w:val="2F401A78"/>
    <w:rsid w:val="324F44B9"/>
    <w:rsid w:val="34AB7BC6"/>
    <w:rsid w:val="3BC46D08"/>
    <w:rsid w:val="3C312A7F"/>
    <w:rsid w:val="3C626B2B"/>
    <w:rsid w:val="3CCD3451"/>
    <w:rsid w:val="3D677F0A"/>
    <w:rsid w:val="3E1D54B9"/>
    <w:rsid w:val="3EE87173"/>
    <w:rsid w:val="422E2184"/>
    <w:rsid w:val="43A1150D"/>
    <w:rsid w:val="45EE7F91"/>
    <w:rsid w:val="4E1E3A09"/>
    <w:rsid w:val="50753440"/>
    <w:rsid w:val="508C3511"/>
    <w:rsid w:val="51B36C26"/>
    <w:rsid w:val="52027744"/>
    <w:rsid w:val="52472307"/>
    <w:rsid w:val="52E141EC"/>
    <w:rsid w:val="533015D5"/>
    <w:rsid w:val="533E15B8"/>
    <w:rsid w:val="53DD3DA8"/>
    <w:rsid w:val="584A334B"/>
    <w:rsid w:val="58E0206D"/>
    <w:rsid w:val="5A261AD6"/>
    <w:rsid w:val="5C325D7B"/>
    <w:rsid w:val="5C997C57"/>
    <w:rsid w:val="5E7D7150"/>
    <w:rsid w:val="5EA82E73"/>
    <w:rsid w:val="62886FC6"/>
    <w:rsid w:val="64D62033"/>
    <w:rsid w:val="6A8928C7"/>
    <w:rsid w:val="6AB96979"/>
    <w:rsid w:val="708578BA"/>
    <w:rsid w:val="70C91CFE"/>
    <w:rsid w:val="725A4446"/>
    <w:rsid w:val="743E3A1D"/>
    <w:rsid w:val="74F14535"/>
    <w:rsid w:val="7814342F"/>
    <w:rsid w:val="786638F5"/>
    <w:rsid w:val="797322AE"/>
    <w:rsid w:val="7EC33187"/>
    <w:rsid w:val="7F161C3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仿宋_GB2312" w:cs="Times New Roman"/>
      <w:kern w:val="2"/>
      <w:sz w:val="24"/>
      <w:szCs w:val="22"/>
      <w:lang w:val="en-US" w:eastAsia="zh-CN" w:bidi="ar-SA"/>
    </w:rPr>
  </w:style>
  <w:style w:type="character" w:default="1" w:styleId="11">
    <w:name w:val="Default Paragraph Font"/>
    <w:semiHidden/>
    <w:qFormat/>
    <w:uiPriority w:val="99"/>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toc 1"/>
    <w:basedOn w:val="1"/>
    <w:next w:val="1"/>
    <w:unhideWhenUsed/>
    <w:qFormat/>
    <w:locked/>
    <w:uiPriority w:val="39"/>
  </w:style>
  <w:style w:type="paragraph" w:styleId="3">
    <w:name w:val="Normal Indent"/>
    <w:basedOn w:val="1"/>
    <w:qFormat/>
    <w:uiPriority w:val="0"/>
    <w:pPr>
      <w:ind w:firstLine="420" w:firstLineChars="200"/>
    </w:pPr>
  </w:style>
  <w:style w:type="paragraph" w:styleId="4">
    <w:name w:val="Body Text"/>
    <w:basedOn w:val="1"/>
    <w:next w:val="1"/>
    <w:qFormat/>
    <w:uiPriority w:val="1"/>
    <w:rPr>
      <w:rFonts w:ascii="仿宋_GB2312" w:hAnsi="仿宋_GB2312" w:eastAsia="仿宋_GB2312" w:cs="仿宋_GB2312"/>
      <w:sz w:val="32"/>
      <w:szCs w:val="32"/>
      <w:lang w:val="zh-CN" w:eastAsia="zh-CN" w:bidi="zh-CN"/>
    </w:rPr>
  </w:style>
  <w:style w:type="paragraph" w:styleId="5">
    <w:name w:val="Balloon Text"/>
    <w:basedOn w:val="1"/>
    <w:next w:val="1"/>
    <w:link w:val="14"/>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rPr>
      <w:sz w:val="24"/>
    </w:rPr>
  </w:style>
  <w:style w:type="table" w:styleId="10">
    <w:name w:val="Table Grid"/>
    <w:basedOn w:val="9"/>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列出段落1"/>
    <w:basedOn w:val="1"/>
    <w:qFormat/>
    <w:uiPriority w:val="0"/>
    <w:pPr>
      <w:ind w:firstLine="420" w:firstLineChars="200"/>
    </w:pPr>
  </w:style>
  <w:style w:type="paragraph" w:styleId="13">
    <w:name w:val="List Paragraph"/>
    <w:basedOn w:val="1"/>
    <w:qFormat/>
    <w:uiPriority w:val="99"/>
    <w:pPr>
      <w:ind w:firstLine="420"/>
    </w:pPr>
  </w:style>
  <w:style w:type="character" w:customStyle="1" w:styleId="14">
    <w:name w:val="Balloon Text Char"/>
    <w:basedOn w:val="11"/>
    <w:link w:val="5"/>
    <w:semiHidden/>
    <w:qFormat/>
    <w:locked/>
    <w:uiPriority w:val="99"/>
    <w:rPr>
      <w:rFonts w:cs="Times New Roman"/>
      <w:sz w:val="18"/>
      <w:szCs w:val="18"/>
    </w:rPr>
  </w:style>
  <w:style w:type="character" w:customStyle="1" w:styleId="15">
    <w:name w:val="Header Char"/>
    <w:basedOn w:val="11"/>
    <w:link w:val="7"/>
    <w:qFormat/>
    <w:locked/>
    <w:uiPriority w:val="99"/>
    <w:rPr>
      <w:rFonts w:cs="Times New Roman"/>
      <w:sz w:val="18"/>
      <w:szCs w:val="18"/>
    </w:rPr>
  </w:style>
  <w:style w:type="character" w:customStyle="1" w:styleId="16">
    <w:name w:val="Footer Char"/>
    <w:basedOn w:val="11"/>
    <w:link w:val="6"/>
    <w:qFormat/>
    <w:locked/>
    <w:uiPriority w:val="99"/>
    <w:rPr>
      <w:rFonts w:cs="Times New Roman"/>
      <w:sz w:val="18"/>
      <w:szCs w:val="18"/>
    </w:rPr>
  </w:style>
  <w:style w:type="paragraph" w:customStyle="1" w:styleId="17">
    <w:name w:val="Default"/>
    <w:next w:val="18"/>
    <w:qFormat/>
    <w:uiPriority w:val="99"/>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8">
    <w:name w:val="TOC 标题4"/>
    <w:next w:val="1"/>
    <w:qFormat/>
    <w:uiPriority w:val="99"/>
    <w:pPr>
      <w:keepNext/>
      <w:keepLines/>
      <w:widowControl/>
      <w:suppressLineNumbers w:val="0"/>
      <w:suppressAutoHyphens w:val="0"/>
      <w:topLinePunct w:val="0"/>
      <w:spacing w:before="480" w:line="276" w:lineRule="auto"/>
      <w:ind w:firstLine="0" w:firstLineChars="0"/>
      <w:contextualSpacing w:val="0"/>
      <w:jc w:val="left"/>
      <w:outlineLvl w:val="9"/>
    </w:pPr>
    <w:rPr>
      <w:rFonts w:ascii="Cambria" w:hAnsi="Cambria" w:eastAsia="宋体" w:cs="Times New Roman"/>
      <w:b/>
      <w:bCs/>
      <w:color w:val="365F91"/>
      <w:kern w:val="0"/>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8</Pages>
  <Words>1565</Words>
  <Characters>1606</Characters>
  <Lines>0</Lines>
  <Paragraphs>0</Paragraphs>
  <TotalTime>1</TotalTime>
  <ScaleCrop>false</ScaleCrop>
  <LinksUpToDate>false</LinksUpToDate>
  <CharactersWithSpaces>1620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2019-03-28T02:24:00Z</dcterms:created>
  <dc:creator>Administrator</dc:creator>
  <cp:lastModifiedBy>Lenovo</cp:lastModifiedBy>
  <cp:lastPrinted>2019-03-28T05:00:00Z</cp:lastPrinted>
  <dcterms:modified xsi:type="dcterms:W3CDTF">2024-12-13T01:37:44Z</dcterms:modified>
  <dc:title>附件3</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54CED63B2C4646888C740B34676551BE</vt:lpwstr>
  </property>
</Properties>
</file>